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FD1DA4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FD1DA4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D1DA4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FD1DA4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FD1DA4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FD1DA4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FD1DA4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FD1DA4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</w:tr>
      <w:tr w:rsidR="00FD1DA4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</w:tr>
      <w:tr w:rsidR="00FD1DA4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78760700</w:t>
            </w:r>
          </w:p>
        </w:tc>
      </w:tr>
      <w:tr w:rsidR="00FD1DA4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ПРОМЫШЛЕННОСТИ, ПРИРОДОПОЛЬЗОВАНИЯ И СЕЛЬСКОГО ХОЗЯЙСТВА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</w:tr>
      <w:tr w:rsidR="00FD1DA4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FD1DA4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</w:tr>
      <w:tr w:rsidR="00FD1DA4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FD1DA4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FD1DA4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FD1DA4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FD1DA4" w:rsidRDefault="00FD1DA4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FD1DA4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D1DA4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D1DA4" w:rsidRDefault="00483A0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Управление промышленности, природопользования и сельского хозяйства Сокольского муниципального округа Вологодской област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и-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орган местного самоуправления Сокольского муниципального округа Вологодской области в форме муниципального казенного учреждения. Действует на основании Положения, утвержденного Решением Муниципального Собрания Сокольского муниципального округа №28 от 20.10.2022г.</w:t>
                  </w:r>
                </w:p>
                <w:p w:rsidR="00FD1DA4" w:rsidRDefault="00483A0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Полное официальное наименование – Управление промышленности, природопользования и сельского хозяйства Сокольского муниципального округа Вологодской области.</w:t>
                  </w:r>
                </w:p>
                <w:p w:rsidR="00FD1DA4" w:rsidRDefault="00483A0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Сокращенное официальное наименование – УППСХ СМО.</w:t>
                  </w:r>
                </w:p>
                <w:p w:rsidR="00FD1DA4" w:rsidRDefault="00483A02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Местонахождение – Вологодская обл., 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окол, ул.Советская, д.73.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 ФЭУ СМО открыт лицевой счет для учета операций получателя средств бюджета округа, подведомственного главному распорядителю средств бюджета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округа  276.11.001.1, лицевой  счет   для учета  операций со средствами, поступающими во временное распоряжение 276.30.276.1.</w:t>
                  </w:r>
                </w:p>
                <w:p w:rsidR="00FD1DA4" w:rsidRDefault="00FD1DA4">
                  <w:pPr>
                    <w:jc w:val="both"/>
                  </w:pPr>
                </w:p>
                <w:p w:rsidR="00FD1DA4" w:rsidRDefault="00FD1DA4">
                  <w:pPr>
                    <w:jc w:val="both"/>
                  </w:pP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Собственником имущества учреждения является Сокольский муниципальный округ. </w:t>
                  </w:r>
                  <w:r>
                    <w:rPr>
                      <w:color w:val="000000"/>
                      <w:sz w:val="28"/>
                      <w:szCs w:val="28"/>
                    </w:rPr>
                    <w:t>Комитет по управлению муниципальным имуществом Сокольского муниципального округа Вологодской области</w:t>
                  </w:r>
                  <w:r w:rsidR="006C3D2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осуществляет полномочия по владению, пользованию и распоряжению имуществом, находящимся в муниципальной собственности Сокольского муниципального округа.</w:t>
                  </w:r>
                </w:p>
                <w:p w:rsidR="00FD1DA4" w:rsidRDefault="00483A02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Полномочия по ведению бухгалтерского (бюджетного) учета переданы муниципальному казенному учреждению Сокольского муниципального округа "Центр бухгалтерского учета" в соответствии с соглашением № 97 от 10.01.2023г.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Ответственным за составление бюджетной (бухгалтерской) отчетности является заместитель главного бухгалтера МКУ СМО "ЦБУ" Мелконян И.Н.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Сведения об организационной структуре субъекта бюджетной отчетности (Таблица № 11)</w:t>
                  </w:r>
                </w:p>
                <w:p w:rsidR="00FD1DA4" w:rsidRDefault="00FD1DA4">
                  <w:pPr>
                    <w:ind w:firstLine="440"/>
                    <w:jc w:val="both"/>
                  </w:pP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изменений видов деятельности 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направлениях деятельности (таблица № 1)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 xml:space="preserve"> не заполняется.</w:t>
                  </w:r>
                </w:p>
              </w:tc>
            </w:tr>
          </w:tbl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D1DA4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D1DA4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Штатная численность работников УППСХ СМО на 01.01.2025 года составляет 11 единиц, фактическая численность составляет 9,5 ед.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2024 году работники не обучались на курсах по повышению квалификации. 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Все рабочие места оснащены современными техническими средствами, отвечающими требованиям безопасности. Учреждение обеспечено основными фондами в соответствии с реальными потребностями.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техническое обслуживание оргтехники. Учреждение обеспечено материальными запасами в соответствии с реальными потребностями. 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 </w:t>
                  </w:r>
                </w:p>
                <w:p w:rsidR="00FD1DA4" w:rsidRDefault="00483A0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результатах деятельности субъекта бюджетной отчетности (таблица №12)</w:t>
                  </w:r>
                </w:p>
              </w:tc>
            </w:tr>
          </w:tbl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D1DA4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D1DA4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 2024 год расходы главного распорядителя бюджетных средств - УППСХ СМО  исполнены в сумме 15 067 447,12 руб., или на 91,5% от утвержденных бюджетных ассигнований в сумме 16 462 067,94  руб. </w:t>
                  </w:r>
                </w:p>
                <w:p w:rsidR="00FD1DA4" w:rsidRDefault="00483A02">
                  <w:pPr>
                    <w:ind w:firstLine="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·  Сведения об исполнении текстовых статей закона (решения) о бюджете (</w:t>
                  </w:r>
                  <w:hyperlink r:id="rId8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9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ф. 0503164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показателей не представляются следующие формы отчетности: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  Анализ отчета об исполнении бюджета субъектом бюджетной отчетности (Таблица № 13)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  Сведения об исполнении мероприятий в рамках целевых программ 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 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D1DA4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D1DA4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D1DA4" w:rsidRDefault="00483A02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 января 2025 г. числится дебиторская задолженность в сумме 64732,30 руб.,  кредиторская задолженность отсутствует, просроченная  задолженность также отсутствует.</w:t>
                  </w:r>
                </w:p>
                <w:p w:rsidR="00FD1DA4" w:rsidRDefault="00FD1DA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05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5"/>
                    <w:gridCol w:w="1959"/>
                    <w:gridCol w:w="1959"/>
                    <w:gridCol w:w="3974"/>
                  </w:tblGrid>
                  <w:tr w:rsidR="00FD1DA4" w:rsidTr="006C3D24">
                    <w:trPr>
                      <w:trHeight w:val="230"/>
                    </w:trPr>
                    <w:tc>
                      <w:tcPr>
                        <w:tcW w:w="10057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дебиторской задолженности</w:t>
                        </w:r>
                      </w:p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на конец отчетного периода по счетам учета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20625003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64 732,30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предоплата за услуги по обращению с отходами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дебиторская задолженность: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64 732,30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rPr>
                      <w:trHeight w:val="230"/>
                    </w:trPr>
                    <w:tc>
                      <w:tcPr>
                        <w:tcW w:w="10057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кредиторской задолженности</w:t>
                        </w:r>
                      </w:p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на конец отчетного периода по счетам учета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FD1DA4" w:rsidTr="006C3D24"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кредиторская задолженность: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</w:tbl>
                <w:p w:rsidR="00FD1DA4" w:rsidRDefault="00483A0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D1DA4" w:rsidRDefault="00FD1DA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19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2"/>
                    <w:gridCol w:w="1134"/>
                    <w:gridCol w:w="992"/>
                    <w:gridCol w:w="1140"/>
                    <w:gridCol w:w="844"/>
                    <w:gridCol w:w="232"/>
                    <w:gridCol w:w="1044"/>
                    <w:gridCol w:w="1120"/>
                    <w:gridCol w:w="865"/>
                    <w:gridCol w:w="1275"/>
                  </w:tblGrid>
                  <w:tr w:rsidR="00FD1DA4" w:rsidTr="006C3D24">
                    <w:trPr>
                      <w:trHeight w:val="253"/>
                    </w:trPr>
                    <w:tc>
                      <w:tcPr>
                        <w:tcW w:w="10198" w:type="dxa"/>
                        <w:gridSpan w:val="10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>Анализ изменения доли просроченной кредиторской (дебиторской) задолженности в общем объеме задолженности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 w:rsidP="006C3D24">
                        <w:pPr>
                          <w:ind w:right="516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rPr>
                      <w:trHeight w:val="253"/>
                    </w:trPr>
                    <w:tc>
                      <w:tcPr>
                        <w:tcW w:w="155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326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на начало года</w:t>
                        </w:r>
                      </w:p>
                    </w:tc>
                    <w:tc>
                      <w:tcPr>
                        <w:tcW w:w="3240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на конец года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 xml:space="preserve">Рост (сокращение) доли просроченной </w:t>
                        </w:r>
                        <w:proofErr w:type="spellStart"/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задолженност</w:t>
                        </w:r>
                        <w:proofErr w:type="spellEnd"/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 xml:space="preserve"> в общей сумме задолженности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Причина роста доли просроченной задолженности в общей сумме задолженности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55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FD1DA4">
                        <w:pPr>
                          <w:spacing w:line="1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просроченная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доля просроченной в общем объеме задолженности,%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 w:rsidP="006C3D24">
                        <w:pPr>
                          <w:ind w:left="-290" w:right="374" w:hanging="29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всего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просроченная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483A02" w:rsidP="006C3D24">
                        <w:pPr>
                          <w:ind w:right="12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доля просроченной в общем объеме задолженности,%</w:t>
                        </w: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FD1DA4">
                        <w:pPr>
                          <w:spacing w:line="1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1DA4" w:rsidRPr="006C3D24" w:rsidRDefault="00FD1DA4">
                        <w:pPr>
                          <w:spacing w:line="1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DA4" w:rsidTr="006C3D24">
                    <w:tc>
                      <w:tcPr>
                        <w:tcW w:w="1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4=3/2*100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7=6/5*100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8=7-4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483A02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Итого дебиторская задолженность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28 206,00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64 732,30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DA4" w:rsidTr="006C3D24">
                    <w:tc>
                      <w:tcPr>
                        <w:tcW w:w="1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483A02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Итого кредиторская задолженность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Pr="006C3D24" w:rsidRDefault="00483A02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C3D24">
                          <w:rPr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D1DA4" w:rsidRPr="006C3D24" w:rsidRDefault="00FD1DA4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D1DA4" w:rsidRDefault="00483A02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Сформирован резерв предстоящих расходов в размере 1 016 974,21 руб.</w:t>
                  </w:r>
                </w:p>
                <w:p w:rsidR="00FD1DA4" w:rsidRDefault="00FD1DA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9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11"/>
                    <w:gridCol w:w="3971"/>
                    <w:gridCol w:w="2011"/>
                    <w:gridCol w:w="1922"/>
                  </w:tblGrid>
                  <w:tr w:rsidR="00FD1DA4" w:rsidTr="006C3D24">
                    <w:trPr>
                      <w:trHeight w:val="230"/>
                    </w:trPr>
                    <w:tc>
                      <w:tcPr>
                        <w:tcW w:w="9915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на оплату отпусков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726 724,14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по страховым взносам на оплату отпусков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219 500,89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по услугам связи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6 016,88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по услугам по содержанию имущества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225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64 732,30</w:t>
                        </w:r>
                      </w:p>
                    </w:tc>
                  </w:tr>
                  <w:tr w:rsidR="00FD1DA4" w:rsidTr="006C3D24">
                    <w:tc>
                      <w:tcPr>
                        <w:tcW w:w="7993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1 016 974,21</w:t>
                        </w:r>
                      </w:p>
                    </w:tc>
                  </w:tr>
                </w:tbl>
                <w:p w:rsidR="00FD1DA4" w:rsidRDefault="00483A02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и денежных обязатель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ств  св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ерх доведенных лимитов бюджетных обязательств в отчетном периоде не принималось. За 2024г не исполнены бюджетные обязательства по заработной плате в размере 94481,76 руб.</w:t>
                  </w:r>
                </w:p>
                <w:p w:rsidR="00FD1DA4" w:rsidRDefault="00483A02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стр. 207 формы 0503130 отражено наличие денежных документов в кассе учреждения (маркированные конверты, марки) на 01.01.2024г. – на сумму 4545,00 руб., на 01.01.2025г. – на сумму 4 215,00 руб.</w:t>
                  </w:r>
                </w:p>
                <w:p w:rsidR="00FD1DA4" w:rsidRDefault="00FD1DA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9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80"/>
                    <w:gridCol w:w="1659"/>
                    <w:gridCol w:w="2180"/>
                    <w:gridCol w:w="1460"/>
                    <w:gridCol w:w="1936"/>
                  </w:tblGrid>
                  <w:tr w:rsidR="00FD1DA4" w:rsidTr="006C3D24">
                    <w:trPr>
                      <w:trHeight w:val="230"/>
                    </w:trPr>
                    <w:tc>
                      <w:tcPr>
                        <w:tcW w:w="9915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Анализ состояния НФА на 01.01.2025 года и основные направления их поступления и выбытия: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 руб.</w:t>
                        </w:r>
                      </w:p>
                      <w:p w:rsidR="00FD1DA4" w:rsidRDefault="00FD1DA4">
                        <w:pPr>
                          <w:jc w:val="center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Направления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поступления</w:t>
                        </w:r>
                      </w:p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выбытие</w:t>
                        </w:r>
                      </w:p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 руб.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Направления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выбытия  НФА в учреждении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310 390,00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262 940,00-приняты к учету приобретенные ОС: кресло, контейнер, МФУ, ноутбук; приняты к учету саженцы деревьев- 47 450,00 руб.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53 950,00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с баланса основных сре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дств ст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оимостью менее     10 тыс. руб. (кресло, саженцы деревьев)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счет 21 в сумме 53 950,00 руб.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256 440,00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начислена амортизация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310 390,00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приобретение ОС: кресло, контейнер, МФУ, ноутбук стоимостью 262 940,00; формирование себестоимости  деревьев- 47 450,00 руб. (со 105 счета)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310 390,00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310 390,00 - принято к учету</w:t>
                        </w:r>
                      </w:p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Непроизведенные активы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FD1DA4"/>
                      <w:p w:rsidR="00FD1DA4" w:rsidRDefault="00FD1DA4"/>
                    </w:tc>
                  </w:tr>
                  <w:tr w:rsidR="00FD1DA4" w:rsidTr="006C3D24">
                    <w:tc>
                      <w:tcPr>
                        <w:tcW w:w="2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201 717,63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201 717,63 - Приобретение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материальных запасов для пользования: Канц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.т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овары, подарочные наборы, жесткий диск, монитор, процессор, саженцы деревьев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160 325,63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97 875,63 руб. - списание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канцтоваров на нужды учреждения; списание подарочных наборов в сумме 15 000,00 руб.; списание саженцев деревьев в сумме 47 450,00 руб</w:t>
                        </w:r>
                        <w:r w:rsidR="006C3D24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на 106.31.счет.</w:t>
                        </w:r>
                      </w:p>
                    </w:tc>
                  </w:tr>
                </w:tbl>
                <w:p w:rsidR="00FD1DA4" w:rsidRDefault="00483A0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  <w:p w:rsidR="00FD1DA4" w:rsidRDefault="00FD1DA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05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3"/>
                    <w:gridCol w:w="3503"/>
                    <w:gridCol w:w="1623"/>
                    <w:gridCol w:w="3648"/>
                  </w:tblGrid>
                  <w:tr w:rsidR="00FD1DA4" w:rsidTr="006C3D24">
                    <w:trPr>
                      <w:trHeight w:val="230"/>
                    </w:trPr>
                    <w:tc>
                      <w:tcPr>
                        <w:tcW w:w="10057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Расшифровка имущества и обязательств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забалансовых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счетах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3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  <w:tr w:rsidR="00FD1DA4" w:rsidTr="006C3D24"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3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3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185,00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 w:rsidP="006C3D24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Бланк "Карта маршрута регулярных перевозок", Бланк "Свидетельство об осуществлении перевозок по маршруту регулярных перевозок"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3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460 579,13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кресла, телефоны, принтера, вентиляторы, саженцы деревьев, рулонные шторы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3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200,00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карта магнитная (пропуск)</w:t>
                        </w:r>
                      </w:p>
                    </w:tc>
                  </w:tr>
                  <w:tr w:rsidR="00FD1DA4" w:rsidTr="006C3D24"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  <w:tc>
                      <w:tcPr>
                        <w:tcW w:w="35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D1DA4" w:rsidRDefault="00483A0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460 964,13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FD1DA4">
                        <w:pPr>
                          <w:jc w:val="both"/>
                        </w:pPr>
                      </w:p>
                      <w:p w:rsidR="00FD1DA4" w:rsidRDefault="00FD1DA4">
                        <w:pPr>
                          <w:jc w:val="both"/>
                        </w:pPr>
                      </w:p>
                    </w:tc>
                  </w:tr>
                </w:tbl>
                <w:p w:rsidR="00FD1DA4" w:rsidRDefault="00483A02">
                  <w:pPr>
                    <w:spacing w:before="100" w:after="1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движении нефинансовых активов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0503168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по дебиторской и кредиторской задолженности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0503169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изменении остатков валюты баланса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9" w:history="1">
                    <w:r>
                      <w:rPr>
                        <w:rStyle w:val="a3"/>
                        <w:sz w:val="28"/>
                        <w:szCs w:val="28"/>
                      </w:rPr>
                      <w:t>ф. 0503173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1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·</w:t>
                  </w:r>
                  <w:hyperlink r:id="rId2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остатках денежных средств на счетах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3" w:history="1">
                    <w:r>
                      <w:rPr>
                        <w:rStyle w:val="a3"/>
                        <w:sz w:val="28"/>
                        <w:szCs w:val="28"/>
                      </w:rPr>
                      <w:t>ф. 0503178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  Анализ показателей отчетности субъекта бюджетной отчетности (Таблица № 14)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числовых показателей не составляются следующие отчеты: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5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государственном (муниципальном) долге, предоставленных бюджетных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7" w:history="1">
                    <w:r>
                      <w:rPr>
                        <w:rStyle w:val="a3"/>
                        <w:sz w:val="28"/>
                        <w:szCs w:val="28"/>
                      </w:rPr>
                      <w:t>ф. 0503172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9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1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D1DA4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D1DA4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D1DA4" w:rsidRDefault="00483A02">
                  <w:pPr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системы бюджетного (бухгалтерского) учета, в соответствии с Учетной политикой,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            </w:r>
                </w:p>
                <w:p w:rsidR="00FD1DA4" w:rsidRDefault="00483A02">
                  <w:pPr>
                    <w:spacing w:before="50" w:after="5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Нормативно-правовой акт: приказ МКУ СМР "ЦБУ" от 30.12.2020 №173 "Об утверждении Положения о единой учетной политике для целей бюджетного и налогового учета"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об основных положениях Учетной политики (таблица №4)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Прочие вопросы деятельности субъекта бюджетной отчетности (Таблица № 16)</w:t>
                  </w:r>
                </w:p>
                <w:p w:rsidR="00FD1DA4" w:rsidRDefault="00483A0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включенных в состав бюджетной отчетности за 2024 год ввиду отсутствия числовых показателей: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проведении инвентаризаций (Таблица № 6)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об исполнении судебных решений, по денежным обязательствам бюджета (ф. 0503296)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      </w:r>
                </w:p>
                <w:p w:rsidR="00FD1DA4" w:rsidRDefault="00483A0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Справка о суммах консолидируемых поступлений, подлежащих зачислению на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счет бюджета (ф.0503184).</w:t>
                  </w:r>
                </w:p>
              </w:tc>
            </w:tr>
          </w:tbl>
          <w:p w:rsidR="00FD1DA4" w:rsidRDefault="00483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D1DA4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</w:tbl>
    <w:p w:rsidR="00FD1DA4" w:rsidRDefault="00FD1DA4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FD1DA4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D1DA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r>
                    <w:rPr>
                      <w:color w:val="000000"/>
                      <w:sz w:val="28"/>
                      <w:szCs w:val="28"/>
                    </w:rPr>
                    <w:t>Начальник УППСХ СМО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D1DA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Н.П.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Пузыревская</w:t>
                  </w:r>
                  <w:proofErr w:type="spellEnd"/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FD1DA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1DA4" w:rsidRDefault="00483A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FD1DA4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1DA4" w:rsidRDefault="00FD1DA4">
                  <w:pPr>
                    <w:spacing w:line="1" w:lineRule="auto"/>
                  </w:pPr>
                </w:p>
              </w:tc>
            </w:tr>
            <w:tr w:rsidR="00FD1DA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FD1DA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r>
                          <w:rPr>
                            <w:color w:val="000000"/>
                          </w:rPr>
                          <w:t>Сертификат: 00e39aae26f3e9b33840620dca09cea289</w:t>
                        </w:r>
                      </w:p>
                      <w:p w:rsidR="00FD1DA4" w:rsidRDefault="00483A02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Пузыревская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Надежда Павловна</w:t>
                        </w:r>
                      </w:p>
                      <w:p w:rsidR="00FD1DA4" w:rsidRDefault="00483A02">
                        <w:r>
                          <w:rPr>
                            <w:color w:val="000000"/>
                          </w:rPr>
                          <w:t>Действителен с 25.03.2024 по 18.06.2025</w:t>
                        </w:r>
                      </w:p>
                    </w:tc>
                  </w:tr>
                </w:tbl>
                <w:p w:rsidR="00FD1DA4" w:rsidRDefault="00FD1DA4">
                  <w:pPr>
                    <w:spacing w:line="1" w:lineRule="auto"/>
                  </w:pPr>
                </w:p>
              </w:tc>
            </w:tr>
            <w:tr w:rsidR="00FD1DA4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D1DA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D1DA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D1DA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Н.Н. Маркова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FD1DA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1DA4" w:rsidRDefault="00483A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FD1DA4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1DA4" w:rsidRDefault="00FD1DA4">
                  <w:pPr>
                    <w:spacing w:line="1" w:lineRule="auto"/>
                  </w:pPr>
                </w:p>
              </w:tc>
            </w:tr>
            <w:tr w:rsidR="00FD1DA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FD1DA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r>
                          <w:rPr>
                            <w:color w:val="000000"/>
                          </w:rPr>
                          <w:t>Сертификат: 00fe42eb62a23379662835ee64b3133ad0</w:t>
                        </w:r>
                      </w:p>
                      <w:p w:rsidR="00FD1DA4" w:rsidRDefault="00483A02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FD1DA4" w:rsidRDefault="00483A02">
                        <w:r>
                          <w:rPr>
                            <w:color w:val="000000"/>
                          </w:rPr>
                          <w:t>Действителен с 01.10.2024 по 25.12.2025</w:t>
                        </w:r>
                      </w:p>
                    </w:tc>
                  </w:tr>
                </w:tbl>
                <w:p w:rsidR="00FD1DA4" w:rsidRDefault="00FD1DA4">
                  <w:pPr>
                    <w:spacing w:line="1" w:lineRule="auto"/>
                  </w:pPr>
                </w:p>
              </w:tc>
            </w:tr>
            <w:tr w:rsidR="00FD1DA4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D1DA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D1DA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Жукова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FD1DA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1DA4" w:rsidRDefault="00483A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FD1DA4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1DA4" w:rsidRDefault="00FD1DA4">
                  <w:pPr>
                    <w:spacing w:line="1" w:lineRule="auto"/>
                  </w:pPr>
                </w:p>
              </w:tc>
            </w:tr>
            <w:tr w:rsidR="00FD1DA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FD1DA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D1DA4" w:rsidRDefault="00483A02">
                        <w:r>
                          <w:rPr>
                            <w:color w:val="000000"/>
                          </w:rPr>
                          <w:t>Сертификат: 00e2aa6709aeb1127f21f44d7d3a2b894e</w:t>
                        </w:r>
                      </w:p>
                      <w:p w:rsidR="00FD1DA4" w:rsidRDefault="00483A02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FD1DA4" w:rsidRDefault="00483A02">
                        <w:r>
                          <w:rPr>
                            <w:color w:val="000000"/>
                          </w:rPr>
                          <w:t>Действителен с 02.04.2024 по 26.06.2025</w:t>
                        </w:r>
                      </w:p>
                    </w:tc>
                  </w:tr>
                </w:tbl>
                <w:p w:rsidR="00FD1DA4" w:rsidRDefault="00FD1DA4">
                  <w:pPr>
                    <w:spacing w:line="1" w:lineRule="auto"/>
                  </w:pPr>
                </w:p>
              </w:tc>
            </w:tr>
            <w:tr w:rsidR="00FD1DA4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FD1DA4">
                  <w:pPr>
                    <w:spacing w:line="1" w:lineRule="auto"/>
                  </w:pP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</w:tbl>
    <w:p w:rsidR="00FD1DA4" w:rsidRDefault="00FD1DA4">
      <w:pPr>
        <w:sectPr w:rsidR="00FD1DA4">
          <w:headerReference w:type="default" r:id="rId32"/>
          <w:footerReference w:type="default" r:id="rId33"/>
          <w:pgSz w:w="11905" w:h="16837"/>
          <w:pgMar w:top="1133" w:right="566" w:bottom="1133" w:left="1133" w:header="1133" w:footer="1133" w:gutter="0"/>
          <w:cols w:space="720"/>
        </w:sectPr>
      </w:pPr>
    </w:p>
    <w:p w:rsidR="00FD1DA4" w:rsidRDefault="00FD1DA4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FD1DA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расходам утвержден в размере 16462,1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91,5% (15067,4 тыс. руб</w:t>
            </w:r>
            <w:r w:rsidR="006C3D2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по фактической потребности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</w:tbl>
    <w:p w:rsidR="00FD1DA4" w:rsidRDefault="00FD1DA4">
      <w:pPr>
        <w:sectPr w:rsidR="00FD1DA4" w:rsidSect="006C3D24">
          <w:headerReference w:type="default" r:id="rId34"/>
          <w:footerReference w:type="default" r:id="rId35"/>
          <w:pgSz w:w="11905" w:h="16837"/>
          <w:pgMar w:top="1134" w:right="1134" w:bottom="1134" w:left="1134" w:header="1134" w:footer="1134" w:gutter="0"/>
          <w:cols w:space="720"/>
        </w:sectPr>
      </w:pPr>
    </w:p>
    <w:p w:rsidR="00FD1DA4" w:rsidRDefault="00FD1DA4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FD1DA4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FD1D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00003000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</w:t>
            </w:r>
            <w:proofErr w:type="gramStart"/>
            <w:r>
              <w:rPr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color w:val="000000"/>
                <w:sz w:val="28"/>
                <w:szCs w:val="28"/>
              </w:rPr>
              <w:t>кроме трудовых книжек и вкладышей к ним, учитываемых по стоимости приобретения)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FD1D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00021000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FD1D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10100000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FD1D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10400000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FD1D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1DA4" w:rsidRDefault="00483A0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10500000</w:t>
                  </w:r>
                </w:p>
              </w:tc>
            </w:tr>
          </w:tbl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</w:tbl>
    <w:p w:rsidR="00FD1DA4" w:rsidRDefault="00FD1DA4">
      <w:pPr>
        <w:sectPr w:rsidR="00FD1DA4">
          <w:headerReference w:type="default" r:id="rId36"/>
          <w:footerReference w:type="default" r:id="rId37"/>
          <w:pgSz w:w="11905" w:h="16837"/>
          <w:pgMar w:top="1133" w:right="566" w:bottom="1133" w:left="1133" w:header="1133" w:footer="1133" w:gutter="0"/>
          <w:cols w:space="720"/>
        </w:sectPr>
      </w:pPr>
    </w:p>
    <w:p w:rsidR="00FD1DA4" w:rsidRDefault="00FD1DA4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FD1D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FD1DA4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FD1D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162130, Вологодская область, Сокольский р-н, г Сокол, Советская </w:t>
            </w:r>
            <w:proofErr w:type="spellStart"/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, д. 73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75404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муниципальные казенные учреждения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Муниципального Собрания Сокольского муниципального округа от 20.10.2022 № 28 «О создании Управления промышленности, природопользования и сельского хозяйства Сокольского муниципального округа Вологодской области и реорганизации Управления промышленности, природопользования и сельского хозяйства Администрации Сокольского муниципального района»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осуществляющего внешний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Сайт Сокольского муниципального округа Вологодской области в информационно-телекоммуникационной сети "Интернет" https://35sokolskij.gosuslugi.ru/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полномочий по ведению бюджетного учета иному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Соглашение от 10.01.2023  № 97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муниципальное казенное учреждение Сокольского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муниципального округа «Центр бухгалтерского учета» ИНН 3527023337, дата передачи полномочий 10.01.2023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FD1DA4" w:rsidRDefault="00FD1DA4">
      <w:pPr>
        <w:sectPr w:rsidR="00FD1DA4">
          <w:headerReference w:type="default" r:id="rId38"/>
          <w:footerReference w:type="default" r:id="rId39"/>
          <w:pgSz w:w="11905" w:h="16837"/>
          <w:pgMar w:top="1133" w:right="566" w:bottom="1133" w:left="1133" w:header="1133" w:footer="1133" w:gutter="0"/>
          <w:cols w:space="720"/>
        </w:sectPr>
      </w:pPr>
    </w:p>
    <w:p w:rsidR="00FD1DA4" w:rsidRDefault="00FD1DA4">
      <w:pPr>
        <w:rPr>
          <w:vanish/>
        </w:rPr>
      </w:pPr>
      <w:bookmarkStart w:id="7" w:name="__bookmark_10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FD1D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FD1DA4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FD1D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1226,5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современными техническими средствами, отвечающими требованиям безопасности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техническое обслуживание оргтехники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Комплекты основных средств полностью </w:t>
            </w:r>
            <w:proofErr w:type="spellStart"/>
            <w:r>
              <w:rPr>
                <w:color w:val="000000"/>
                <w:sz w:val="28"/>
                <w:szCs w:val="28"/>
              </w:rPr>
              <w:t>соотвествуют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своим техническим характеристикам</w:t>
            </w: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  <w:tr w:rsidR="00FD1DA4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</w:tbl>
    <w:p w:rsidR="00FD1DA4" w:rsidRDefault="00FD1DA4">
      <w:pPr>
        <w:sectPr w:rsidR="00FD1DA4">
          <w:headerReference w:type="default" r:id="rId40"/>
          <w:footerReference w:type="default" r:id="rId41"/>
          <w:pgSz w:w="11905" w:h="16837"/>
          <w:pgMar w:top="1133" w:right="566" w:bottom="1133" w:left="1133" w:header="1133" w:footer="1133" w:gutter="0"/>
          <w:cols w:space="720"/>
        </w:sectPr>
      </w:pPr>
    </w:p>
    <w:p w:rsidR="00FD1DA4" w:rsidRDefault="00FD1DA4">
      <w:pPr>
        <w:rPr>
          <w:vanish/>
        </w:rPr>
      </w:pPr>
      <w:bookmarkStart w:id="8" w:name="__bookmark_12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FD1D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FD1DA4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FD1D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КБК: 1 30314000; сумма: 28206; пояснение: восстановление в учете дебиторской задолженности по ЕНС;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КБК: 1 40130000; сумма: 28206; пояснение: финансовый результат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</w:tbl>
    <w:p w:rsidR="00FD1DA4" w:rsidRDefault="00FD1DA4">
      <w:pPr>
        <w:sectPr w:rsidR="00FD1DA4">
          <w:headerReference w:type="default" r:id="rId42"/>
          <w:footerReference w:type="default" r:id="rId43"/>
          <w:pgSz w:w="11905" w:h="16837"/>
          <w:pgMar w:top="1133" w:right="566" w:bottom="1133" w:left="1133" w:header="1133" w:footer="1133" w:gutter="0"/>
          <w:cols w:space="720"/>
        </w:sectPr>
      </w:pPr>
    </w:p>
    <w:p w:rsidR="00FD1DA4" w:rsidRDefault="00FD1DA4">
      <w:pPr>
        <w:rPr>
          <w:vanish/>
        </w:rPr>
      </w:pPr>
      <w:bookmarkStart w:id="9" w:name="__bookmark_17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FD1DA4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FD1DA4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FD1DA4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FD1DA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D1DA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№1 от 10.12.2024г</w:t>
            </w:r>
          </w:p>
        </w:tc>
      </w:tr>
      <w:tr w:rsidR="00FD1DA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Сведения о направлениях деятельности (таблица № 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отчета об исполнении бюджета субъектом бюджетной отчетности (Таблица № 13);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мероприятий в рамках целевых программ (ф. 0503166);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целевых иностранных кредитах (ф. 0503167);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финансовых вложениях получателя бюджетных средств, администратора источников финансирования дефицита бюджета (ф. 0503171);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государственном (муниципальном) долге, предоставленных бюджетных кредитах (ф. 0503172);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Сведения о доходах бюджета от перечисления части прибыли (дивидендов) государственных (муниципальных) унитарных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предприятий, иных организаций с государственным участием в капитале (ф. 0503174);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вложениях в объекты недвижимого имущества, объектах незавершенного строительства (ф. 0503190);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Причины увеличения просроченной задолженности (Таблица № 15);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проведении инвентаризаций (Таблица № 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судебных решений, по денежным обязательствам бюджета (ф. 0503296);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Справка о суммах консолидируемых поступлений, подлежащих зачислению на счет бюджета (ф.0503184).</w:t>
            </w:r>
            <w:proofErr w:type="gramEnd"/>
          </w:p>
        </w:tc>
      </w:tr>
      <w:tr w:rsidR="00FD1DA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A4" w:rsidRDefault="00FD1DA4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  <w:jc w:val="center"/>
            </w:pPr>
          </w:p>
        </w:tc>
      </w:tr>
      <w:tr w:rsidR="00FD1DA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483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D1DA4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A4" w:rsidRDefault="00FD1DA4">
            <w:pPr>
              <w:spacing w:line="1" w:lineRule="auto"/>
            </w:pPr>
          </w:p>
        </w:tc>
      </w:tr>
    </w:tbl>
    <w:p w:rsidR="00483A02" w:rsidRDefault="00483A02"/>
    <w:sectPr w:rsidR="00483A02" w:rsidSect="00FD1DA4">
      <w:headerReference w:type="default" r:id="rId44"/>
      <w:footerReference w:type="default" r:id="rId45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54" w:rsidRDefault="00F75C54" w:rsidP="00FD1DA4">
      <w:r>
        <w:separator/>
      </w:r>
    </w:p>
  </w:endnote>
  <w:endnote w:type="continuationSeparator" w:id="0">
    <w:p w:rsidR="00F75C54" w:rsidRDefault="00F75C54" w:rsidP="00F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54" w:rsidRDefault="00F75C54" w:rsidP="00FD1DA4">
      <w:r>
        <w:separator/>
      </w:r>
    </w:p>
  </w:footnote>
  <w:footnote w:type="continuationSeparator" w:id="0">
    <w:p w:rsidR="00F75C54" w:rsidRDefault="00F75C54" w:rsidP="00FD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1DA4">
      <w:trPr>
        <w:trHeight w:val="56"/>
      </w:trPr>
      <w:tc>
        <w:tcPr>
          <w:tcW w:w="10421" w:type="dxa"/>
        </w:tcPr>
        <w:p w:rsidR="00FD1DA4" w:rsidRDefault="00FD1DA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4"/>
    <w:rsid w:val="000D2E97"/>
    <w:rsid w:val="00483A02"/>
    <w:rsid w:val="006C3D24"/>
    <w:rsid w:val="006F2C68"/>
    <w:rsid w:val="00F75C54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1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#/document/140/18302/" TargetMode="External"/><Relationship Id="rId18" Type="http://schemas.openxmlformats.org/officeDocument/2006/relationships/hyperlink" Target="https://gosfinansy.ru/#/document/16/143891/h51/" TargetMode="External"/><Relationship Id="rId26" Type="http://schemas.openxmlformats.org/officeDocument/2006/relationships/hyperlink" Target="https://gosfinansy.ru/#/document/16/143891/h4a/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gosfinansy.ru/#/document/140/35362/" TargetMode="External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47" Type="http://schemas.openxmlformats.org/officeDocument/2006/relationships/theme" Target="theme/theme1.xml"/><Relationship Id="rId7" Type="http://schemas.openxmlformats.org/officeDocument/2006/relationships/hyperlink" Target="https://gosfinansy.ru/system/content/attachment/1/16/-265674/?isInline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h3b/" TargetMode="External"/><Relationship Id="rId29" Type="http://schemas.openxmlformats.org/officeDocument/2006/relationships/hyperlink" Target="https://gosfinansy.ru/#/document/140/18308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finansy.ru/#/document/140/42665/" TargetMode="External"/><Relationship Id="rId24" Type="http://schemas.openxmlformats.org/officeDocument/2006/relationships/hyperlink" Target="https://gosfinansy.ru/#/document/16/143891/h43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61927/" TargetMode="External"/><Relationship Id="rId23" Type="http://schemas.openxmlformats.org/officeDocument/2006/relationships/hyperlink" Target="https://gosfinansy.ru/#/document/140/18312/" TargetMode="External"/><Relationship Id="rId28" Type="http://schemas.openxmlformats.org/officeDocument/2006/relationships/hyperlink" Target="https://gosfinansy.ru/#/document/16/143891/dfasbs2wg0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gosfinansy.ru/#/document/140/35358/" TargetMode="External"/><Relationship Id="rId19" Type="http://schemas.openxmlformats.org/officeDocument/2006/relationships/hyperlink" Target="https://gosfinansy.ru/#/document/140/54588/" TargetMode="External"/><Relationship Id="rId31" Type="http://schemas.openxmlformats.org/officeDocument/2006/relationships/hyperlink" Target="https://gosfinansy.ru/#/document/140/31017/" TargetMode="External"/><Relationship Id="rId44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6/143891/h1c/" TargetMode="External"/><Relationship Id="rId14" Type="http://schemas.openxmlformats.org/officeDocument/2006/relationships/hyperlink" Target="https://gosfinansy.ru/#/document/16/143891/h33/" TargetMode="External"/><Relationship Id="rId22" Type="http://schemas.openxmlformats.org/officeDocument/2006/relationships/hyperlink" Target="https://gosfinansy.ru/#/document/16/143891/h65/" TargetMode="External"/><Relationship Id="rId27" Type="http://schemas.openxmlformats.org/officeDocument/2006/relationships/hyperlink" Target="https://gosfinansy.ru/#/document/140/27514/" TargetMode="External"/><Relationship Id="rId30" Type="http://schemas.openxmlformats.org/officeDocument/2006/relationships/hyperlink" Target="https://gosfinansy.ru/#/document/16/143891/qwert362/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Relationship Id="rId8" Type="http://schemas.openxmlformats.org/officeDocument/2006/relationships/hyperlink" Target="https://gosfinansy.ru/#/document/99/902254657/ZAP2C303H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finansy.ru/#/document/16/143891/h2d/" TargetMode="External"/><Relationship Id="rId17" Type="http://schemas.openxmlformats.org/officeDocument/2006/relationships/hyperlink" Target="https://gosfinansy.ru/#/document/140/35360/" TargetMode="External"/><Relationship Id="rId25" Type="http://schemas.openxmlformats.org/officeDocument/2006/relationships/hyperlink" Target="https://gosfinansy.ru/#/document/140/39217/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46" Type="http://schemas.openxmlformats.org/officeDocument/2006/relationships/fontTable" Target="fontTable.xml"/><Relationship Id="rId20" Type="http://schemas.openxmlformats.org/officeDocument/2006/relationships/hyperlink" Target="https://gosfinansy.ru/#/document/16/143891/ogd28/" TargetMode="External"/><Relationship Id="rId4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2025-03-05T13:22:00Z</cp:lastPrinted>
  <dcterms:created xsi:type="dcterms:W3CDTF">2025-03-14T11:21:00Z</dcterms:created>
  <dcterms:modified xsi:type="dcterms:W3CDTF">2025-03-14T11:21:00Z</dcterms:modified>
</cp:coreProperties>
</file>