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0B3AE3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0B3AE3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3AE3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0B3AE3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0B3AE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0B3AE3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0B3AE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0B3AE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</w:tr>
      <w:tr w:rsidR="000B3AE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</w:tr>
      <w:tr w:rsidR="000B3AE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78760700</w:t>
            </w:r>
          </w:p>
        </w:tc>
      </w:tr>
      <w:tr w:rsidR="000B3AE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ПРОМЫШЛЕННОСТИ, ПРИРОДОПОЛЬЗОВАНИЯ И СЕЛЬСКОГО ХОЗЯЙСТВА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</w:tr>
      <w:tr w:rsidR="000B3AE3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0B3AE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</w:tr>
      <w:tr w:rsidR="000B3AE3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0B3AE3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0B3AE3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0B3AE3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0B3AE3" w:rsidRDefault="000B3AE3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0B3AE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B3AE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B3AE3" w:rsidRDefault="00780C6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Управление промышленности, природопользования и сельского хозяйства Сокольского муниципального округа Вологодской област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и-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орган местного самоуправления Сокольского муниципального округа Вологодской области в форме муниципального казенного учреждения. Действует на основании Положения, утвержденного Решением Муниципального Собрания Сокольского муниципального округа №28 от 20.10.2022г.</w:t>
                  </w:r>
                </w:p>
                <w:p w:rsidR="000B3AE3" w:rsidRDefault="00780C6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Полное официальное наименование – Управление промышленности, природопользования и сельского хозяйства Сокольского муниципального округа Вологодской области.</w:t>
                  </w:r>
                </w:p>
                <w:p w:rsidR="000B3AE3" w:rsidRDefault="00780C6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Сокращенное официальное наименование – УППСХ СМО.</w:t>
                  </w:r>
                </w:p>
                <w:p w:rsidR="000B3AE3" w:rsidRDefault="00780C6F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Местонахождение – Вологодская обл., 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окол, ул.Советская, д.73.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ФЭУ СМО открыт лицевой счет для учета операций получателя средств бюджета округа, подведомственного главному распорядителю средств бюджета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округа  276.11.001.1, лицевой  счет   для учета  операций со средствами, поступающими во временное распоряжение 276.30.276.1.</w:t>
                  </w:r>
                </w:p>
                <w:p w:rsidR="000B3AE3" w:rsidRDefault="000B3AE3">
                  <w:pPr>
                    <w:jc w:val="both"/>
                  </w:pPr>
                </w:p>
                <w:p w:rsidR="000B3AE3" w:rsidRDefault="000B3AE3">
                  <w:pPr>
                    <w:jc w:val="both"/>
                  </w:pP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Собственником имущества учреждения является Сокольский муниципальный округ. </w:t>
                  </w:r>
                  <w:r>
                    <w:rPr>
                      <w:color w:val="000000"/>
                      <w:sz w:val="28"/>
                      <w:szCs w:val="28"/>
                    </w:rPr>
                    <w:t>Комитет по управлению муниципальным имуществом Сокольского муниципального округа Вологодской области</w:t>
                  </w:r>
                  <w:r w:rsidR="007065E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осуществляет полномочия по владению, пользованию и распоряжению имуществом, находящимся в муниципальной собственности Сокольского муниципального округа.</w:t>
                  </w:r>
                </w:p>
                <w:p w:rsidR="000B3AE3" w:rsidRDefault="00780C6F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Полномочия по ведению бухгалтерского (бюджетного) учета переданы муниципальному казенному учреждению Сокольского муниципального округа "Центр бухгалтерского учета" в соответствии с соглашением № 97 от 10.01.2023г.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Сведения об организационной структуре субъекта бюджетной отчетности (Таблица № 11)</w:t>
                  </w:r>
                </w:p>
                <w:p w:rsidR="000B3AE3" w:rsidRDefault="000B3AE3">
                  <w:pPr>
                    <w:ind w:firstLine="440"/>
                    <w:jc w:val="both"/>
                  </w:pP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изменений видов деятельности 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 xml:space="preserve"> не заполняется.</w:t>
                  </w:r>
                </w:p>
              </w:tc>
            </w:tr>
          </w:tbl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B3AE3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B3AE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 работников УППСХ СМО на 01.01.2024 года составляет 11 единиц, фактическая численность составляет 11 ед., в том числе  1 ед. находится в отпуске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уходом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за ребенком  до 1,5 лет.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 году работники не обучались на курсах по повышению квалификации. 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Все рабочие места оснащены современными техническими средствами, отвечающими требованиям безопасности. Учреждение обеспечено основными фондами в соответствии с реальными потребностями.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техническое обслуживание оргтехники. Учреждение обеспечено материальными запасами в соответствии с реальными потребностями. 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 </w:t>
                  </w:r>
                </w:p>
                <w:p w:rsidR="000B3AE3" w:rsidRDefault="00780C6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результатах деятельности субъекта бюджетной отчетности (таблица №12)</w:t>
                  </w:r>
                </w:p>
              </w:tc>
            </w:tr>
          </w:tbl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3AE3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B3AE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 2023 год расходы главного распорядителя бюджетных средств - УППСХ СМО  исполнены в сумме 12 510 533,10 руб., или на 99,95% от утвержденных бюджетных ассигнований в сумме 12 517 352,10  руб. </w:t>
                  </w:r>
                </w:p>
                <w:p w:rsidR="000B3AE3" w:rsidRDefault="00780C6F">
                  <w:pPr>
                    <w:ind w:firstLine="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Приложение к пояснительной записке: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  Сведения об исполнении текстовых статей закона (решения) о бюджете (</w:t>
                  </w:r>
                  <w:hyperlink r:id="rId8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  Анализ отчета об исполнении бюджета субъектом бюджетной отчетности (Таблица № 13)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  Сведения об исполнении мероприятий в рамках целевых программ 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 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B3AE3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B3AE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B3AE3" w:rsidRPr="007065E7" w:rsidRDefault="00780C6F">
                  <w:pPr>
                    <w:spacing w:before="100" w:after="100"/>
                    <w:jc w:val="both"/>
                  </w:pPr>
                  <w:r w:rsidRPr="007065E7">
                    <w:rPr>
                      <w:bCs/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2023 год объема бюджетных ассигнований и лимитов бюджетных обязательств  не принималось.</w:t>
                  </w:r>
                </w:p>
                <w:p w:rsidR="000B3AE3" w:rsidRDefault="00780C6F">
                  <w:pPr>
                    <w:spacing w:before="100" w:after="100"/>
                    <w:jc w:val="both"/>
                  </w:pPr>
                  <w:r w:rsidRPr="007065E7">
                    <w:rPr>
                      <w:bCs/>
                      <w:color w:val="000000"/>
                      <w:sz w:val="28"/>
                      <w:szCs w:val="28"/>
                    </w:rPr>
                    <w:t>Резерв предстоящих расходов сформирован в размере 847 626,42 руб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. </w:t>
                  </w:r>
                </w:p>
                <w:p w:rsidR="000B3AE3" w:rsidRDefault="000B3AE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797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59"/>
                    <w:gridCol w:w="3790"/>
                    <w:gridCol w:w="2124"/>
                    <w:gridCol w:w="2224"/>
                  </w:tblGrid>
                  <w:tr w:rsidR="000B3AE3">
                    <w:trPr>
                      <w:trHeight w:val="230"/>
                    </w:trPr>
                    <w:tc>
                      <w:tcPr>
                        <w:tcW w:w="9797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0B3AE3">
                    <w:tc>
                      <w:tcPr>
                        <w:tcW w:w="1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0B3AE3">
                        <w:pPr>
                          <w:jc w:val="both"/>
                        </w:pPr>
                      </w:p>
                      <w:p w:rsidR="000B3AE3" w:rsidRPr="007065E7" w:rsidRDefault="000B3AE3">
                        <w:pPr>
                          <w:jc w:val="both"/>
                        </w:pPr>
                      </w:p>
                    </w:tc>
                    <w:tc>
                      <w:tcPr>
                        <w:tcW w:w="37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0B3AE3">
                        <w:pPr>
                          <w:jc w:val="both"/>
                        </w:pPr>
                      </w:p>
                      <w:p w:rsidR="000B3AE3" w:rsidRPr="007065E7" w:rsidRDefault="000B3AE3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0B3AE3">
                        <w:pPr>
                          <w:jc w:val="both"/>
                        </w:pPr>
                      </w:p>
                      <w:p w:rsidR="000B3AE3" w:rsidRPr="007065E7" w:rsidRDefault="000B3AE3">
                        <w:pPr>
                          <w:jc w:val="both"/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0B3AE3">
                        <w:pPr>
                          <w:jc w:val="both"/>
                        </w:pPr>
                      </w:p>
                      <w:p w:rsidR="000B3AE3" w:rsidRPr="007065E7" w:rsidRDefault="000B3AE3">
                        <w:pPr>
                          <w:jc w:val="both"/>
                        </w:pPr>
                      </w:p>
                    </w:tc>
                  </w:tr>
                  <w:tr w:rsidR="000B3AE3">
                    <w:tc>
                      <w:tcPr>
                        <w:tcW w:w="1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0B3AE3">
                    <w:tc>
                      <w:tcPr>
                        <w:tcW w:w="1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B3AE3">
                    <w:tc>
                      <w:tcPr>
                        <w:tcW w:w="1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647 092,94</w:t>
                        </w:r>
                      </w:p>
                    </w:tc>
                  </w:tr>
                  <w:tr w:rsidR="000B3AE3">
                    <w:tc>
                      <w:tcPr>
                        <w:tcW w:w="1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Резерв  по начислениям на оплату отпуска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195 422,06</w:t>
                        </w:r>
                      </w:p>
                    </w:tc>
                  </w:tr>
                  <w:tr w:rsidR="000B3AE3">
                    <w:tc>
                      <w:tcPr>
                        <w:tcW w:w="165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79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Резервы за услуги связи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5 111,42</w:t>
                        </w:r>
                      </w:p>
                    </w:tc>
                  </w:tr>
                  <w:tr w:rsidR="000B3AE3">
                    <w:tc>
                      <w:tcPr>
                        <w:tcW w:w="7573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both"/>
                        </w:pPr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r w:rsidRPr="007065E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847 626,42</w:t>
                        </w:r>
                      </w:p>
                    </w:tc>
                  </w:tr>
                </w:tbl>
                <w:p w:rsidR="000B3AE3" w:rsidRDefault="00780C6F">
                  <w:pPr>
                    <w:spacing w:before="100" w:after="1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Просроченная дебиторская и кредиторская задолженность отсутствует.</w:t>
                  </w:r>
                </w:p>
                <w:p w:rsidR="000B3AE3" w:rsidRDefault="00780C6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стр. 207 формы 0503130 отражено наличие денежных документов в кассе учреждения (маркированные конверты, марки) на 01.01.2023г. – на сумму 4 611,00 руб., на 01.01.2024г. – на сумму 4 565,00 руб.</w:t>
                  </w:r>
                </w:p>
                <w:p w:rsidR="000B3AE3" w:rsidRDefault="00780C6F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В форме 0503168 отражено движение имущества:</w:t>
                  </w:r>
                </w:p>
                <w:p w:rsidR="000B3AE3" w:rsidRDefault="000B3AE3">
                  <w:pPr>
                    <w:ind w:firstLine="560"/>
                    <w:jc w:val="both"/>
                  </w:pPr>
                </w:p>
                <w:p w:rsidR="000B3AE3" w:rsidRDefault="000B3AE3">
                  <w:pPr>
                    <w:ind w:firstLine="560"/>
                    <w:jc w:val="both"/>
                  </w:pPr>
                </w:p>
                <w:p w:rsidR="000B3AE3" w:rsidRDefault="000B3AE3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2694"/>
                    <w:gridCol w:w="2551"/>
                    <w:gridCol w:w="2800"/>
                    <w:gridCol w:w="3800"/>
                  </w:tblGrid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поступление</w:t>
                        </w:r>
                      </w:p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 руб.</w:t>
                        </w:r>
                      </w:p>
                      <w:p w:rsidR="000B3AE3" w:rsidRPr="007065E7" w:rsidRDefault="000B3A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Направления поступления</w:t>
                        </w:r>
                      </w:p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выбытие</w:t>
                        </w:r>
                      </w:p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 руб.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101 900,00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1900,00-приняты к учету приобретенные ОС: телефон; приняты к </w:t>
                        </w: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учету саженцы деревьев- 100000,00 руб.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101 900,00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списание с баланса основных сре</w:t>
                        </w:r>
                        <w:proofErr w:type="gramStart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дств ст</w:t>
                        </w:r>
                        <w:proofErr w:type="gramEnd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оимостью менее     10 тыс. </w:t>
                        </w:r>
                        <w:proofErr w:type="spellStart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  на </w:t>
                        </w:r>
                        <w:proofErr w:type="spellStart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забалансовый</w:t>
                        </w:r>
                        <w:proofErr w:type="spellEnd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 счет 21 в </w:t>
                        </w: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сумме 101900,00 руб. 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Амортизация основных средств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101 900,00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 приобретение ОС: телефон стоимостью 1900,00; формирование себестоимости  деревьев- 100000,00 руб. (со 105 счета)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101 900,00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101 900,00 - принято к учету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224 958,18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224 958,18 -  Приобретение материальных запасов для пользования: Канц</w:t>
                        </w:r>
                        <w:proofErr w:type="gramStart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.т</w:t>
                        </w:r>
                        <w:proofErr w:type="gramEnd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овары , саженцы деревьев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223 658,18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123 628,36 - списание канцтоваров на нужды учреждения; списание саженцев деревьев в сумме 100000,00 </w:t>
                        </w:r>
                        <w:proofErr w:type="spellStart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 на 106.31.счет.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283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Вложения в материальные запасы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B3AE3" w:rsidRPr="007065E7" w:rsidRDefault="00780C6F">
                  <w:pPr>
                    <w:spacing w:before="190" w:after="190"/>
                    <w:jc w:val="both"/>
                    <w:rPr>
                      <w:sz w:val="24"/>
                      <w:szCs w:val="24"/>
                    </w:rPr>
                  </w:pPr>
                  <w:r w:rsidRPr="007065E7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:rsidR="000B3AE3" w:rsidRPr="007065E7" w:rsidRDefault="000B3AE3">
                  <w:pPr>
                    <w:rPr>
                      <w:vanish/>
                      <w:sz w:val="24"/>
                      <w:szCs w:val="24"/>
                    </w:rPr>
                  </w:pPr>
                </w:p>
                <w:tbl>
                  <w:tblPr>
                    <w:tblOverlap w:val="never"/>
                    <w:tblW w:w="10348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4080"/>
                    <w:gridCol w:w="2180"/>
                    <w:gridCol w:w="3008"/>
                  </w:tblGrid>
                  <w:tr w:rsidR="000B3AE3" w:rsidRPr="007065E7" w:rsidTr="007065E7">
                    <w:trPr>
                      <w:trHeight w:val="276"/>
                    </w:trPr>
                    <w:tc>
                      <w:tcPr>
                        <w:tcW w:w="10348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Расшифровка имущества и обязательств на </w:t>
                        </w:r>
                        <w:proofErr w:type="spellStart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забалансовых</w:t>
                        </w:r>
                        <w:proofErr w:type="spellEnd"/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 счетах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Расшифровка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185,00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бланки строгой отчетности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406 629,13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кресла, телефоны, принтера, саженцы деревьев, рулонные шторы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200,00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карта магнитная (пропуск)</w:t>
                        </w:r>
                      </w:p>
                    </w:tc>
                  </w:tr>
                  <w:tr w:rsidR="000B3AE3" w:rsidRPr="007065E7" w:rsidTr="007065E7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 w:rsidP="007065E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B3AE3" w:rsidRPr="007065E7" w:rsidRDefault="00780C6F" w:rsidP="007065E7">
                        <w:pPr>
                          <w:rPr>
                            <w:sz w:val="24"/>
                            <w:szCs w:val="24"/>
                          </w:rPr>
                        </w:pPr>
                        <w:r w:rsidRPr="007065E7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407 014,13</w:t>
                        </w:r>
                      </w:p>
                    </w:tc>
                    <w:tc>
                      <w:tcPr>
                        <w:tcW w:w="30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B3AE3" w:rsidRPr="007065E7" w:rsidRDefault="000B3AE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B3AE3" w:rsidRDefault="00780C6F">
                  <w:pPr>
                    <w:spacing w:before="100" w:after="10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9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0" w:history="1">
                    <w:r>
                      <w:rPr>
                        <w:rStyle w:val="a3"/>
                        <w:sz w:val="28"/>
                        <w:szCs w:val="28"/>
                      </w:rPr>
                      <w:t xml:space="preserve">Сведения о принятых и неисполненных обязательствах получателя бюджетных 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lastRenderedPageBreak/>
                      <w:t>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1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3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числовых показателей не составляются следующие отчеты: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5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показателей отчетности субъекта бюджетной отчетности (Таблица № 14);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B3AE3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0B3AE3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0B3AE3" w:rsidRDefault="00780C6F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0B3AE3" w:rsidRDefault="00780C6F">
                  <w:pPr>
                    <w:spacing w:before="50" w:after="5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Нормативно-правовой акт: приказ МКУ СМР "ЦБУ" от 30.12.2020 №173 "Об утверждении Положения о единой учетной политике для целей бюджетного и налогового учета"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об основных положениях Учетной политики (таблица №4)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Прочие вопросы деятельности субъекта бюджетной отчетности (Таблица № 16)</w:t>
                  </w:r>
                </w:p>
                <w:p w:rsidR="000B3AE3" w:rsidRDefault="00780C6F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включенных в состав бюджетной отчетности за 2023 год ввиду отсутствия числовых показателей: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проведении инвентаризаций (Таблица № 6)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об исполнении судебных решений, по денежным обязательствам бюджета (ф. 0503296)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0B3AE3" w:rsidRDefault="00780C6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 Справка о суммах консолидируемых поступлений, подлежащих зачислению на счет бюджета (ф.0503184).</w:t>
                  </w:r>
                </w:p>
              </w:tc>
            </w:tr>
          </w:tbl>
          <w:p w:rsidR="000B3AE3" w:rsidRDefault="00780C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0B3AE3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</w:tbl>
    <w:p w:rsidR="000B3AE3" w:rsidRDefault="000B3AE3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0B3AE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B3AE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r>
                    <w:rPr>
                      <w:color w:val="000000"/>
                      <w:sz w:val="28"/>
                      <w:szCs w:val="28"/>
                    </w:rPr>
                    <w:t>Начальник УППСХ СМО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B3AE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Н.П.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Пузыревская</w:t>
                  </w:r>
                  <w:proofErr w:type="spellEnd"/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B3AE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3AE3" w:rsidRDefault="00780C6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B3AE3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3AE3" w:rsidRDefault="000B3AE3">
                  <w:pPr>
                    <w:spacing w:line="1" w:lineRule="auto"/>
                  </w:pPr>
                </w:p>
              </w:tc>
            </w:tr>
            <w:tr w:rsidR="000B3AE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B3AE3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Default="00780C6F">
                        <w:r>
                          <w:rPr>
                            <w:color w:val="000000"/>
                          </w:rPr>
                          <w:t>Сертификат: 00eafa688929cbf37d2927f252ec61f59b</w:t>
                        </w:r>
                      </w:p>
                      <w:p w:rsidR="000B3AE3" w:rsidRDefault="00780C6F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Пузыревская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Надежда Павловна</w:t>
                        </w:r>
                      </w:p>
                      <w:p w:rsidR="000B3AE3" w:rsidRDefault="00780C6F">
                        <w:r>
                          <w:rPr>
                            <w:color w:val="000000"/>
                          </w:rPr>
                          <w:t>Действителен с 10.01.2023 по 04.04.2024</w:t>
                        </w:r>
                      </w:p>
                    </w:tc>
                  </w:tr>
                </w:tbl>
                <w:p w:rsidR="000B3AE3" w:rsidRDefault="000B3AE3">
                  <w:pPr>
                    <w:spacing w:line="1" w:lineRule="auto"/>
                  </w:pPr>
                </w:p>
              </w:tc>
            </w:tr>
            <w:tr w:rsidR="000B3AE3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B3AE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B3AE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  <w:jc w:val="center"/>
                  </w:pP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B3AE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B3AE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Н.Н. Маркова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B3AE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3AE3" w:rsidRDefault="00780C6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B3AE3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3AE3" w:rsidRDefault="000B3AE3">
                  <w:pPr>
                    <w:spacing w:line="1" w:lineRule="auto"/>
                  </w:pPr>
                </w:p>
              </w:tc>
            </w:tr>
            <w:tr w:rsidR="000B3AE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B3AE3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Default="00780C6F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0B3AE3" w:rsidRDefault="00780C6F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0B3AE3" w:rsidRDefault="00780C6F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0B3AE3" w:rsidRDefault="000B3AE3">
                  <w:pPr>
                    <w:spacing w:line="1" w:lineRule="auto"/>
                  </w:pPr>
                </w:p>
              </w:tc>
            </w:tr>
            <w:tr w:rsidR="000B3AE3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B3AE3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B3AE3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B3AE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3AE3" w:rsidRDefault="00780C6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B3AE3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3AE3" w:rsidRDefault="000B3AE3">
                  <w:pPr>
                    <w:spacing w:line="1" w:lineRule="auto"/>
                  </w:pPr>
                </w:p>
              </w:tc>
            </w:tr>
            <w:tr w:rsidR="000B3AE3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B3AE3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3AE3" w:rsidRDefault="00780C6F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0B3AE3" w:rsidRDefault="00780C6F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0B3AE3" w:rsidRDefault="00780C6F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0B3AE3" w:rsidRDefault="000B3AE3">
                  <w:pPr>
                    <w:spacing w:line="1" w:lineRule="auto"/>
                  </w:pPr>
                </w:p>
              </w:tc>
            </w:tr>
            <w:tr w:rsidR="000B3AE3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>
                  <w:pPr>
                    <w:spacing w:line="1" w:lineRule="auto"/>
                  </w:pP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0B3AE3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0B3AE3"/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</w:tbl>
    <w:p w:rsidR="000B3AE3" w:rsidRDefault="000B3AE3">
      <w:pPr>
        <w:sectPr w:rsidR="000B3AE3">
          <w:headerReference w:type="default" r:id="rId32"/>
          <w:footerReference w:type="default" r:id="rId33"/>
          <w:pgSz w:w="11905" w:h="16837"/>
          <w:pgMar w:top="1133" w:right="566" w:bottom="1133" w:left="1133" w:header="1133" w:footer="1133" w:gutter="0"/>
          <w:cols w:space="720"/>
        </w:sectPr>
      </w:pPr>
    </w:p>
    <w:p w:rsidR="000B3AE3" w:rsidRDefault="000B3AE3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0B3AE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расходам утвержден в размере 12517352,10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99,95% (12510553,10 руб</w:t>
            </w:r>
            <w:r w:rsidR="00637F6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</w:tbl>
    <w:p w:rsidR="000B3AE3" w:rsidRDefault="000B3AE3">
      <w:pPr>
        <w:sectPr w:rsidR="000B3AE3">
          <w:headerReference w:type="default" r:id="rId34"/>
          <w:footerReference w:type="default" r:id="rId35"/>
          <w:pgSz w:w="11905" w:h="16837"/>
          <w:pgMar w:top="1133" w:right="566" w:bottom="1133" w:left="1133" w:header="1133" w:footer="1133" w:gutter="0"/>
          <w:cols w:space="720"/>
        </w:sectPr>
      </w:pPr>
    </w:p>
    <w:p w:rsidR="000B3AE3" w:rsidRDefault="000B3AE3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0B3AE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B3AE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B3AE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стоимости приобретения бланко</w:t>
            </w:r>
            <w:proofErr w:type="gramStart"/>
            <w:r>
              <w:rPr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color w:val="000000"/>
                <w:sz w:val="28"/>
                <w:szCs w:val="28"/>
              </w:rPr>
              <w:t>кроме трудовых книжек и вкладышей к ним, учитываемых по стоимости приобретения)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B3AE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B3AE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B3AE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0B3AE3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3AE3" w:rsidRDefault="00780C6F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  <w:tr w:rsidR="000B3AE3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</w:tbl>
    <w:p w:rsidR="000B3AE3" w:rsidRDefault="000B3AE3">
      <w:pPr>
        <w:sectPr w:rsidR="000B3AE3">
          <w:headerReference w:type="default" r:id="rId36"/>
          <w:footerReference w:type="default" r:id="rId37"/>
          <w:pgSz w:w="11905" w:h="16837"/>
          <w:pgMar w:top="1133" w:right="566" w:bottom="1133" w:left="1133" w:header="1133" w:footer="1133" w:gutter="0"/>
          <w:cols w:space="720"/>
        </w:sectPr>
      </w:pPr>
    </w:p>
    <w:p w:rsidR="000B3AE3" w:rsidRDefault="000B3AE3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0B3AE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0B3AE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0B3AE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162130, Вологодская область, Сокольский р-н, г Сокол, Советская </w:t>
            </w:r>
            <w:proofErr w:type="spellStart"/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, д. 73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Муниципального Собрания Сокольского муниципального округа от 20.10.2022 № 28 «О создании Управления промышленности, природопользования и сельского хозяйства Сокольского муниципального округа Вологодской области и реорганизации Управления промышленности, природопользования и сельского хозяйства Администрации Сокольского муниципального района»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осуществляющего внешний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Сайт Сокольского муниципального округа Вологодской области в информационно-телекоммуникационной сети "Интернет" https://35sokolskij.gosuslugi.ru/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Передача полномочий по ведению бюджетного учета иному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Соглашение от 10.01.2023  № 97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муниципальное казенное учреждение Сокольского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муниципального округа «Центр бухгалтерского учета» ИНН 3527023337, дата передачи полномочий 10.01.2023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03.05.2023 завершена процедура реорганизации путем присоединения УППСХ Администрации СМР к УППСХ СМО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0B3AE3" w:rsidRDefault="000B3AE3">
      <w:pPr>
        <w:sectPr w:rsidR="000B3AE3">
          <w:headerReference w:type="default" r:id="rId38"/>
          <w:footerReference w:type="default" r:id="rId39"/>
          <w:pgSz w:w="11905" w:h="16837"/>
          <w:pgMar w:top="1133" w:right="566" w:bottom="1133" w:left="1133" w:header="1133" w:footer="1133" w:gutter="0"/>
          <w:cols w:space="720"/>
        </w:sectPr>
      </w:pPr>
    </w:p>
    <w:p w:rsidR="000B3AE3" w:rsidRDefault="000B3AE3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0B3AE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0B3AE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0B3AE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970,013.15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отвечающими требованиям безопасности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средства, непригодные к эксплуатации в связи с моральным и (или</w:t>
            </w:r>
            <w:proofErr w:type="gramStart"/>
            <w:r>
              <w:rPr>
                <w:color w:val="000000"/>
                <w:sz w:val="28"/>
                <w:szCs w:val="28"/>
              </w:rPr>
              <w:t>)ф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изическим износом и нецелесообразностью их ремонта, списаны с балансового учета.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замен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приобретены новые объекты основных средств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фонды субъекта отчетности </w:t>
            </w:r>
            <w:r>
              <w:rPr>
                <w:color w:val="000000"/>
                <w:sz w:val="28"/>
                <w:szCs w:val="28"/>
              </w:rPr>
              <w:lastRenderedPageBreak/>
              <w:t>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Комплекты основных средств полностью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соотвествуют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своим техническим характеристикам</w:t>
            </w:r>
          </w:p>
        </w:tc>
      </w:tr>
      <w:tr w:rsidR="000B3AE3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</w:tbl>
    <w:p w:rsidR="000B3AE3" w:rsidRDefault="000B3AE3">
      <w:pPr>
        <w:sectPr w:rsidR="000B3AE3">
          <w:headerReference w:type="default" r:id="rId40"/>
          <w:footerReference w:type="default" r:id="rId41"/>
          <w:pgSz w:w="11905" w:h="16837"/>
          <w:pgMar w:top="1133" w:right="566" w:bottom="1133" w:left="1133" w:header="1133" w:footer="1133" w:gutter="0"/>
          <w:cols w:space="720"/>
        </w:sectPr>
      </w:pPr>
    </w:p>
    <w:p w:rsidR="000B3AE3" w:rsidRDefault="000B3AE3">
      <w:pPr>
        <w:rPr>
          <w:vanish/>
        </w:rPr>
      </w:pPr>
      <w:bookmarkStart w:id="8" w:name="__bookmark_17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0B3AE3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0B3AE3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0B3AE3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  <w:jc w:val="center"/>
            </w:pPr>
          </w:p>
        </w:tc>
      </w:tr>
      <w:tr w:rsidR="000B3AE3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0B3AE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B3AE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№ 2 о проведении инвентаризации  от 27 октября 2023 года</w:t>
            </w:r>
          </w:p>
        </w:tc>
      </w:tr>
      <w:tr w:rsidR="000B3AE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0B3AE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Сведения о направлениях деятельности (таблица № 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отчета об исполнении бюджета субъектом бюджетной отчетности (Таблица № 13);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мероприятий в рамках целевых программ (ф. 0503166);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целевых иностранных кредитах (ф. 0503167);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Сведения о доходах бюджета от перечисления части прибыли (дивидендов) государственных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(муниципальных) унитарных предприятий, иных организаций с государственным участием в капитале (ф. 0503174);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вложениях в объекты недвижимого имущества, объектах незавершенного строительства (ф. 0503190);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показателей отчетности субъекта бюджетной отчетности (Таблица № 14);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Причины увеличения просроченной задолженности (Таблица № 15);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проведении инвентаризаций (Таблица № 6);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Сведения об исполнении судебных решений, по денежным обязательствам бюджета (ф. 0503296);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Справка о суммах консолидируемых поступлений, подлежащих зачислению на счет бюджета (ф.0503184).</w:t>
            </w:r>
            <w:proofErr w:type="gramEnd"/>
          </w:p>
        </w:tc>
      </w:tr>
      <w:tr w:rsidR="000B3AE3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780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B3AE3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3AE3" w:rsidRDefault="000B3AE3">
            <w:pPr>
              <w:spacing w:line="1" w:lineRule="auto"/>
            </w:pPr>
          </w:p>
        </w:tc>
      </w:tr>
    </w:tbl>
    <w:p w:rsidR="00780C6F" w:rsidRDefault="00780C6F"/>
    <w:sectPr w:rsidR="00780C6F" w:rsidSect="000B3AE3">
      <w:headerReference w:type="default" r:id="rId42"/>
      <w:footerReference w:type="default" r:id="rId43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7B" w:rsidRDefault="00F1717B" w:rsidP="000B3AE3">
      <w:r>
        <w:separator/>
      </w:r>
    </w:p>
  </w:endnote>
  <w:endnote w:type="continuationSeparator" w:id="0">
    <w:p w:rsidR="00F1717B" w:rsidRDefault="00F1717B" w:rsidP="000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7B" w:rsidRDefault="00F1717B" w:rsidP="000B3AE3">
      <w:r>
        <w:separator/>
      </w:r>
    </w:p>
  </w:footnote>
  <w:footnote w:type="continuationSeparator" w:id="0">
    <w:p w:rsidR="00F1717B" w:rsidRDefault="00F1717B" w:rsidP="000B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AE3">
      <w:trPr>
        <w:trHeight w:val="56"/>
      </w:trPr>
      <w:tc>
        <w:tcPr>
          <w:tcW w:w="10421" w:type="dxa"/>
        </w:tcPr>
        <w:p w:rsidR="000B3AE3" w:rsidRDefault="000B3AE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3"/>
    <w:rsid w:val="000B3AE3"/>
    <w:rsid w:val="00180667"/>
    <w:rsid w:val="00637F66"/>
    <w:rsid w:val="007065E7"/>
    <w:rsid w:val="00780C6F"/>
    <w:rsid w:val="007B7CF4"/>
    <w:rsid w:val="00836FA2"/>
    <w:rsid w:val="00F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B3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B3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#/document/140/18302/" TargetMode="External"/><Relationship Id="rId18" Type="http://schemas.openxmlformats.org/officeDocument/2006/relationships/hyperlink" Target="https://gosfinansy.ru/#/document/16/143891/h51/" TargetMode="External"/><Relationship Id="rId26" Type="http://schemas.openxmlformats.org/officeDocument/2006/relationships/hyperlink" Target="https://gosfinansy.ru/#/document/16/143891/h4a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gosfinansy.ru/#/document/140/35362/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hyperlink" Target="https://gosfinansy.ru/system/content/attachment/1/16/-265674/?isInline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h3b/" TargetMode="External"/><Relationship Id="rId29" Type="http://schemas.openxmlformats.org/officeDocument/2006/relationships/hyperlink" Target="https://gosfinansy.ru/#/document/140/18308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finansy.ru/#/document/140/42665/" TargetMode="External"/><Relationship Id="rId24" Type="http://schemas.openxmlformats.org/officeDocument/2006/relationships/hyperlink" Target="https://gosfinansy.ru/#/document/16/143891/h43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61927/" TargetMode="External"/><Relationship Id="rId23" Type="http://schemas.openxmlformats.org/officeDocument/2006/relationships/hyperlink" Target="https://gosfinansy.ru/#/document/140/18312/" TargetMode="External"/><Relationship Id="rId28" Type="http://schemas.openxmlformats.org/officeDocument/2006/relationships/hyperlink" Target="https://gosfinansy.ru/#/document/16/143891/dfasbs2wg0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gosfinansy.ru/#/document/140/35358/" TargetMode="External"/><Relationship Id="rId19" Type="http://schemas.openxmlformats.org/officeDocument/2006/relationships/hyperlink" Target="https://gosfinansy.ru/#/document/140/54588/" TargetMode="External"/><Relationship Id="rId31" Type="http://schemas.openxmlformats.org/officeDocument/2006/relationships/hyperlink" Target="https://gosfinansy.ru/#/document/140/31017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6/143891/h1c/" TargetMode="External"/><Relationship Id="rId14" Type="http://schemas.openxmlformats.org/officeDocument/2006/relationships/hyperlink" Target="https://gosfinansy.ru/#/document/16/143891/h33/" TargetMode="External"/><Relationship Id="rId22" Type="http://schemas.openxmlformats.org/officeDocument/2006/relationships/hyperlink" Target="https://gosfinansy.ru/#/document/16/143891/h65/" TargetMode="External"/><Relationship Id="rId27" Type="http://schemas.openxmlformats.org/officeDocument/2006/relationships/hyperlink" Target="https://gosfinansy.ru/#/document/140/27514/" TargetMode="External"/><Relationship Id="rId30" Type="http://schemas.openxmlformats.org/officeDocument/2006/relationships/hyperlink" Target="https://gosfinansy.ru/#/document/16/143891/qwert362/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Relationship Id="rId8" Type="http://schemas.openxmlformats.org/officeDocument/2006/relationships/hyperlink" Target="https://gosfinansy.ru/#/document/99/902254657/ZAP2C303H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finansy.ru/#/document/16/143891/h2d/" TargetMode="External"/><Relationship Id="rId17" Type="http://schemas.openxmlformats.org/officeDocument/2006/relationships/hyperlink" Target="https://gosfinansy.ru/#/document/140/35360/" TargetMode="External"/><Relationship Id="rId25" Type="http://schemas.openxmlformats.org/officeDocument/2006/relationships/hyperlink" Target="https://gosfinansy.ru/#/document/140/39217/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0" Type="http://schemas.openxmlformats.org/officeDocument/2006/relationships/hyperlink" Target="https://gosfinansy.ru/#/document/16/143891/ogd28/" TargetMode="External"/><Relationship Id="rId4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2024-03-29T08:55:00Z</dcterms:created>
  <dcterms:modified xsi:type="dcterms:W3CDTF">2024-03-29T08:55:00Z</dcterms:modified>
</cp:coreProperties>
</file>