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30" w:rsidRDefault="00D8015D" w:rsidP="00D80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15D">
        <w:rPr>
          <w:rFonts w:ascii="Times New Roman" w:hAnsi="Times New Roman" w:cs="Times New Roman"/>
          <w:sz w:val="28"/>
          <w:szCs w:val="28"/>
        </w:rPr>
        <w:t>Методики и расчеты распределения дотаций на выравнивание уровня бюджетной обеспеченности поселений</w:t>
      </w:r>
    </w:p>
    <w:p w:rsidR="00D8015D" w:rsidRDefault="00D8015D" w:rsidP="00D8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15D" w:rsidRPr="00D845B2" w:rsidRDefault="00D845B2" w:rsidP="00D84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proofErr w:type="gramStart"/>
      <w:r w:rsidRPr="00D845B2">
        <w:rPr>
          <w:rFonts w:ascii="Times New Roman" w:hAnsi="Times New Roman" w:cs="Times New Roman"/>
          <w:sz w:val="28"/>
          <w:szCs w:val="28"/>
        </w:rPr>
        <w:t xml:space="preserve">В связи с преобразованием Сокольского муниципального района в </w:t>
      </w:r>
      <w:proofErr w:type="spellStart"/>
      <w:r w:rsidRPr="00D845B2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муниципальный округ, н</w:t>
      </w:r>
      <w:r w:rsidRPr="00D845B2">
        <w:rPr>
          <w:rFonts w:ascii="Times New Roman" w:hAnsi="Times New Roman" w:cs="Times New Roman"/>
          <w:sz w:val="28"/>
          <w:szCs w:val="28"/>
        </w:rPr>
        <w:t>а основании закона Вологодской области от 06 мая 2022 года №5119-ОЗ «О преобразовании всех поселений, входящих в состав Сокольского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области»</w:t>
      </w:r>
      <w:r w:rsidRPr="00D845B2">
        <w:rPr>
          <w:rFonts w:ascii="Times New Roman" w:hAnsi="Times New Roman" w:cs="Times New Roman"/>
          <w:sz w:val="28"/>
          <w:szCs w:val="28"/>
        </w:rPr>
        <w:t xml:space="preserve">, методика </w:t>
      </w:r>
      <w:r w:rsidRPr="00D845B2">
        <w:rPr>
          <w:rFonts w:ascii="Times New Roman" w:hAnsi="Times New Roman" w:cs="Times New Roman"/>
          <w:sz w:val="28"/>
          <w:szCs w:val="28"/>
        </w:rPr>
        <w:t>распределения дотаций на выравнивание уровня бюджетной</w:t>
      </w:r>
      <w:proofErr w:type="gramEnd"/>
      <w:r w:rsidRPr="00D845B2">
        <w:rPr>
          <w:rFonts w:ascii="Times New Roman" w:hAnsi="Times New Roman" w:cs="Times New Roman"/>
          <w:sz w:val="28"/>
          <w:szCs w:val="28"/>
        </w:rPr>
        <w:t xml:space="preserve"> обеспеченности поселений</w:t>
      </w:r>
      <w:r w:rsidRPr="00D845B2">
        <w:rPr>
          <w:rFonts w:ascii="Times New Roman" w:hAnsi="Times New Roman" w:cs="Times New Roman"/>
          <w:sz w:val="28"/>
          <w:szCs w:val="28"/>
        </w:rPr>
        <w:t xml:space="preserve"> не устанавливалась, </w:t>
      </w:r>
      <w:r w:rsidRPr="00D845B2">
        <w:rPr>
          <w:rFonts w:ascii="Times New Roman" w:hAnsi="Times New Roman" w:cs="Times New Roman"/>
          <w:sz w:val="28"/>
          <w:szCs w:val="28"/>
        </w:rPr>
        <w:t>расчеты распределения дотаций на выравнивание уровня бюджетной обеспеченности поселений</w:t>
      </w:r>
      <w:r w:rsidRPr="00D845B2">
        <w:rPr>
          <w:rFonts w:ascii="Times New Roman" w:hAnsi="Times New Roman" w:cs="Times New Roman"/>
          <w:sz w:val="28"/>
          <w:szCs w:val="28"/>
        </w:rPr>
        <w:t xml:space="preserve"> не производились</w:t>
      </w:r>
      <w:r w:rsidRPr="00D845B2">
        <w:rPr>
          <w:rFonts w:ascii="Times New Roman" w:hAnsi="Times New Roman" w:cs="Times New Roman"/>
          <w:sz w:val="28"/>
          <w:szCs w:val="28"/>
        </w:rPr>
        <w:t>.</w:t>
      </w:r>
    </w:p>
    <w:sectPr w:rsidR="00D8015D" w:rsidRPr="00D8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5"/>
    <w:rsid w:val="00766D55"/>
    <w:rsid w:val="00D8015D"/>
    <w:rsid w:val="00D845B2"/>
    <w:rsid w:val="00D9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fonh_2</dc:creator>
  <cp:keywords/>
  <dc:description/>
  <cp:lastModifiedBy>fonh_2</cp:lastModifiedBy>
  <cp:revision>2</cp:revision>
  <cp:lastPrinted>2022-11-22T12:33:00Z</cp:lastPrinted>
  <dcterms:created xsi:type="dcterms:W3CDTF">2022-11-22T12:14:00Z</dcterms:created>
  <dcterms:modified xsi:type="dcterms:W3CDTF">2022-11-22T12:38:00Z</dcterms:modified>
</cp:coreProperties>
</file>