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73294" w:rsidRDefault="00773294" w:rsidP="00773294">
      <w:pPr>
        <w:rPr>
          <w:sz w:val="24"/>
          <w:szCs w:val="24"/>
        </w:rPr>
      </w:pPr>
    </w:p>
    <w:p w:rsidR="00B6728C" w:rsidRPr="00B6728C" w:rsidRDefault="00B6728C" w:rsidP="00B6728C">
      <w:pPr>
        <w:spacing w:line="25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728C" w:rsidRPr="00B6728C" w:rsidRDefault="00B6728C" w:rsidP="00B6728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728C" w:rsidRPr="00B6728C" w:rsidRDefault="00B6728C" w:rsidP="00B6728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728C" w:rsidRPr="00B6728C" w:rsidRDefault="00B6728C" w:rsidP="00B6728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728C" w:rsidRPr="00B6728C" w:rsidRDefault="00B6728C" w:rsidP="00B6728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p w:rsidR="00B6728C" w:rsidRPr="00B6728C" w:rsidRDefault="00B6728C" w:rsidP="00B6728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9348"/>
      </w:tblGrid>
      <w:tr w:rsidR="00B6728C" w:rsidRPr="00B6728C" w:rsidTr="00B6728C">
        <w:trPr>
          <w:trHeight w:val="5819"/>
          <w:jc w:val="center"/>
        </w:trPr>
        <w:tc>
          <w:tcPr>
            <w:tcW w:w="5000" w:type="pct"/>
          </w:tcPr>
          <w:p w:rsidR="00B6728C" w:rsidRPr="00B6728C" w:rsidRDefault="00B6728C" w:rsidP="00B672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40"/>
                <w:szCs w:val="40"/>
                <w:lang w:eastAsia="ru-RU"/>
              </w:rPr>
            </w:pPr>
            <w:r w:rsidRPr="00B6728C">
              <w:rPr>
                <w:rFonts w:ascii="Times New Roman" w:eastAsia="Times New Roman" w:hAnsi="Times New Roman" w:cs="Times New Roman"/>
                <w:b/>
                <w:sz w:val="40"/>
                <w:szCs w:val="40"/>
                <w:lang w:eastAsia="ru-RU" w:bidi="ru-RU"/>
              </w:rPr>
              <w:t>Схема теплоснабжения</w:t>
            </w:r>
          </w:p>
          <w:p w:rsidR="00B6728C" w:rsidRPr="00B6728C" w:rsidRDefault="00B6728C" w:rsidP="00B6728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6728C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Сокольского муниципального округа</w:t>
            </w:r>
          </w:p>
          <w:p w:rsidR="00B6728C" w:rsidRPr="00B6728C" w:rsidRDefault="00B6728C" w:rsidP="00B672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6728C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Вологодской области</w:t>
            </w:r>
          </w:p>
          <w:p w:rsidR="00B6728C" w:rsidRPr="00B6728C" w:rsidRDefault="00B6728C" w:rsidP="00B6728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6728C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на период 2024-2042 годов</w:t>
            </w:r>
          </w:p>
          <w:p w:rsidR="00B6728C" w:rsidRPr="00B6728C" w:rsidRDefault="00B6728C" w:rsidP="00B6728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r w:rsidRPr="00B672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(Приложение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Pr="00B672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Оценка надежности теплоснабжения</w:t>
            </w:r>
            <w:r w:rsidRPr="00B672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  <w:p w:rsidR="00B6728C" w:rsidRPr="00B6728C" w:rsidRDefault="00B6728C" w:rsidP="00B6728C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  <w:p w:rsidR="00B6728C" w:rsidRPr="00B6728C" w:rsidRDefault="00B6728C" w:rsidP="00B6728C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  <w:p w:rsidR="00B6728C" w:rsidRPr="00B6728C" w:rsidRDefault="00B6728C" w:rsidP="00B6728C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  <w:p w:rsidR="00B6728C" w:rsidRPr="00B6728C" w:rsidRDefault="00B6728C" w:rsidP="00B6728C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  <w:p w:rsidR="00B6728C" w:rsidRPr="00B6728C" w:rsidRDefault="00B6728C" w:rsidP="00B672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 w:bidi="ru-RU"/>
              </w:rPr>
            </w:pPr>
          </w:p>
        </w:tc>
      </w:tr>
      <w:tr w:rsidR="00380F66" w:rsidRPr="00B6728C" w:rsidTr="00B6728C">
        <w:trPr>
          <w:trHeight w:val="5819"/>
          <w:jc w:val="center"/>
        </w:trPr>
        <w:tc>
          <w:tcPr>
            <w:tcW w:w="5000" w:type="pct"/>
          </w:tcPr>
          <w:p w:rsidR="00380F66" w:rsidRPr="00B6728C" w:rsidRDefault="00380F66" w:rsidP="00B672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40"/>
                <w:szCs w:val="40"/>
                <w:lang w:eastAsia="ru-RU" w:bidi="ru-RU"/>
              </w:rPr>
            </w:pPr>
          </w:p>
        </w:tc>
      </w:tr>
    </w:tbl>
    <w:p w:rsidR="00263A79" w:rsidRPr="00263A79" w:rsidRDefault="00263A79" w:rsidP="00BB47A4">
      <w:pPr>
        <w:keepNext/>
        <w:keepLines/>
        <w:spacing w:after="0" w:line="240" w:lineRule="auto"/>
      </w:pPr>
    </w:p>
    <w:p w:rsidR="00263A79" w:rsidRPr="00263A79" w:rsidRDefault="00855985" w:rsidP="00263A79">
      <w:pPr>
        <w:widowControl w:val="0"/>
        <w:shd w:val="clear" w:color="auto" w:fill="FFFFFF"/>
        <w:tabs>
          <w:tab w:val="right" w:leader="dot" w:pos="9730"/>
        </w:tabs>
        <w:spacing w:after="60" w:line="274" w:lineRule="exact"/>
        <w:jc w:val="both"/>
        <w:rPr>
          <w:rFonts w:ascii="Calibri" w:eastAsia="Times New Roman" w:hAnsi="Calibri" w:cs="Times New Roman"/>
          <w:noProof/>
          <w:lang w:eastAsia="ru-RU"/>
        </w:rPr>
      </w:pPr>
      <w:r w:rsidRPr="00263A79">
        <w:rPr>
          <w:rFonts w:ascii="Times New Roman" w:eastAsia="Times New Roman" w:hAnsi="Times New Roman" w:cs="Times New Roman"/>
          <w:b/>
          <w:bCs/>
          <w:color w:val="000000"/>
          <w:lang w:eastAsia="ru-RU" w:bidi="ru-RU"/>
        </w:rPr>
        <w:fldChar w:fldCharType="begin"/>
      </w:r>
      <w:r w:rsidR="00263A79" w:rsidRPr="00263A79">
        <w:rPr>
          <w:rFonts w:ascii="Times New Roman" w:eastAsia="Times New Roman" w:hAnsi="Times New Roman" w:cs="Times New Roman"/>
          <w:b/>
          <w:bCs/>
          <w:color w:val="000000"/>
          <w:lang w:eastAsia="ru-RU" w:bidi="ru-RU"/>
        </w:rPr>
        <w:instrText xml:space="preserve"> TOC \o "1-5" \h \z </w:instrText>
      </w:r>
      <w:r w:rsidRPr="00263A79">
        <w:rPr>
          <w:rFonts w:ascii="Times New Roman" w:eastAsia="Times New Roman" w:hAnsi="Times New Roman" w:cs="Times New Roman"/>
          <w:b/>
          <w:bCs/>
          <w:color w:val="000000"/>
          <w:lang w:eastAsia="ru-RU" w:bidi="ru-RU"/>
        </w:rPr>
        <w:fldChar w:fldCharType="separate"/>
      </w:r>
    </w:p>
    <w:p w:rsidR="00BB47A4" w:rsidRDefault="00855985" w:rsidP="00BB47A4">
      <w:pPr>
        <w:widowControl w:val="0"/>
        <w:tabs>
          <w:tab w:val="left" w:pos="714"/>
          <w:tab w:val="left" w:leader="dot" w:pos="8752"/>
        </w:tabs>
        <w:spacing w:after="0" w:line="220" w:lineRule="exact"/>
        <w:jc w:val="both"/>
        <w:rPr>
          <w:rFonts w:ascii="Times New Roman" w:eastAsia="Times New Roman" w:hAnsi="Times New Roman" w:cs="Times New Roman"/>
          <w:b/>
          <w:bCs/>
          <w:color w:val="000000"/>
          <w:lang w:eastAsia="ru-RU" w:bidi="ru-RU"/>
        </w:rPr>
      </w:pPr>
      <w:r w:rsidRPr="00263A79">
        <w:rPr>
          <w:rFonts w:ascii="Times New Roman" w:eastAsia="Times New Roman" w:hAnsi="Times New Roman" w:cs="Times New Roman"/>
          <w:b/>
          <w:bCs/>
          <w:color w:val="000000"/>
          <w:lang w:eastAsia="ru-RU" w:bidi="ru-RU"/>
        </w:rPr>
        <w:lastRenderedPageBreak/>
        <w:fldChar w:fldCharType="end"/>
      </w:r>
    </w:p>
    <w:p w:rsidR="00BB47A4" w:rsidRPr="00BB47A4" w:rsidRDefault="00BB47A4" w:rsidP="00BB47A4">
      <w:pPr>
        <w:widowControl w:val="0"/>
        <w:tabs>
          <w:tab w:val="left" w:pos="714"/>
          <w:tab w:val="left" w:leader="dot" w:pos="8752"/>
        </w:tabs>
        <w:spacing w:after="0" w:line="220" w:lineRule="exact"/>
        <w:jc w:val="both"/>
        <w:rPr>
          <w:rFonts w:ascii="Times New Roman" w:eastAsiaTheme="majorEastAsia" w:hAnsi="Times New Roman" w:cs="Times New Roman"/>
          <w:sz w:val="28"/>
          <w:szCs w:val="28"/>
          <w:lang w:eastAsia="ru-RU"/>
        </w:rPr>
      </w:pPr>
      <w:r w:rsidRPr="00BB47A4">
        <w:rPr>
          <w:rFonts w:ascii="Times New Roman" w:eastAsiaTheme="majorEastAsia" w:hAnsi="Times New Roman" w:cs="Times New Roman"/>
          <w:sz w:val="28"/>
          <w:szCs w:val="28"/>
          <w:lang w:eastAsia="ru-RU"/>
        </w:rPr>
        <w:t>Оглавление</w:t>
      </w:r>
    </w:p>
    <w:p w:rsidR="00BB47A4" w:rsidRPr="00BB47A4" w:rsidRDefault="00915047" w:rsidP="00BB47A4">
      <w:pPr>
        <w:pStyle w:val="12"/>
        <w:tabs>
          <w:tab w:val="right" w:leader="dot" w:pos="9730"/>
        </w:tabs>
        <w:spacing w:line="24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58026813" w:history="1">
        <w:r w:rsidR="00BB47A4" w:rsidRPr="00BB47A4">
          <w:rPr>
            <w:rStyle w:val="a9"/>
            <w:rFonts w:ascii="Times New Roman" w:eastAsia="Times New Roman" w:hAnsi="Times New Roman" w:cs="Times New Roman"/>
            <w:noProof/>
            <w:color w:val="auto"/>
            <w:sz w:val="28"/>
            <w:szCs w:val="28"/>
            <w:u w:val="none"/>
            <w:lang w:eastAsia="ru-RU" w:bidi="ru-RU"/>
          </w:rPr>
          <w:t>Показатели, определяемые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</w:t>
        </w:r>
        <w:r w:rsidR="00BB47A4">
          <w:rPr>
            <w:rFonts w:ascii="Times New Roman" w:hAnsi="Times New Roman" w:cs="Times New Roman"/>
            <w:noProof/>
            <w:webHidden/>
            <w:sz w:val="28"/>
            <w:szCs w:val="28"/>
          </w:rPr>
          <w:t>……………………………………………...</w:t>
        </w:r>
        <w:r w:rsidR="004B0F7D">
          <w:rPr>
            <w:rFonts w:ascii="Times New Roman" w:hAnsi="Times New Roman" w:cs="Times New Roman"/>
            <w:noProof/>
            <w:webHidden/>
            <w:sz w:val="28"/>
            <w:szCs w:val="28"/>
          </w:rPr>
          <w:t>408</w:t>
        </w:r>
      </w:hyperlink>
    </w:p>
    <w:p w:rsidR="00BB47A4" w:rsidRPr="00BB47A4" w:rsidRDefault="00915047" w:rsidP="00BB47A4">
      <w:pPr>
        <w:pStyle w:val="12"/>
        <w:tabs>
          <w:tab w:val="right" w:leader="dot" w:pos="9730"/>
        </w:tabs>
        <w:spacing w:line="24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58026814" w:history="1">
        <w:r w:rsidR="00BB47A4" w:rsidRPr="00BB47A4">
          <w:rPr>
            <w:rStyle w:val="a9"/>
            <w:rFonts w:ascii="Times New Roman" w:eastAsia="Times New Roman" w:hAnsi="Times New Roman" w:cs="Times New Roman"/>
            <w:noProof/>
            <w:color w:val="auto"/>
            <w:sz w:val="28"/>
            <w:szCs w:val="28"/>
            <w:u w:val="none"/>
            <w:lang w:eastAsia="ru-RU" w:bidi="ru-RU"/>
          </w:rPr>
          <w:t>Перспективные показатели, определяемые приведенной продолжительностью прекращений подачи тепловой энергии</w:t>
        </w:r>
        <w:r w:rsidR="00BB47A4">
          <w:rPr>
            <w:rStyle w:val="a9"/>
            <w:rFonts w:ascii="Times New Roman" w:eastAsia="Times New Roman" w:hAnsi="Times New Roman" w:cs="Times New Roman"/>
            <w:noProof/>
            <w:color w:val="auto"/>
            <w:sz w:val="28"/>
            <w:szCs w:val="28"/>
            <w:u w:val="none"/>
            <w:lang w:eastAsia="ru-RU" w:bidi="ru-RU"/>
          </w:rPr>
          <w:t>………</w:t>
        </w:r>
        <w:r w:rsidR="008F3A47">
          <w:rPr>
            <w:rStyle w:val="a9"/>
            <w:rFonts w:ascii="Times New Roman" w:eastAsia="Times New Roman" w:hAnsi="Times New Roman" w:cs="Times New Roman"/>
            <w:noProof/>
            <w:color w:val="auto"/>
            <w:sz w:val="28"/>
            <w:szCs w:val="28"/>
            <w:u w:val="none"/>
            <w:lang w:eastAsia="ru-RU" w:bidi="ru-RU"/>
          </w:rPr>
          <w:t>……………………….</w:t>
        </w:r>
        <w:r w:rsidR="00BB47A4">
          <w:rPr>
            <w:rStyle w:val="a9"/>
            <w:rFonts w:ascii="Times New Roman" w:eastAsia="Times New Roman" w:hAnsi="Times New Roman" w:cs="Times New Roman"/>
            <w:noProof/>
            <w:color w:val="auto"/>
            <w:sz w:val="28"/>
            <w:szCs w:val="28"/>
            <w:u w:val="none"/>
            <w:lang w:eastAsia="ru-RU" w:bidi="ru-RU"/>
          </w:rPr>
          <w:t>……..</w:t>
        </w:r>
        <w:r w:rsidR="004B0F7D">
          <w:rPr>
            <w:rFonts w:ascii="Times New Roman" w:hAnsi="Times New Roman" w:cs="Times New Roman"/>
            <w:noProof/>
            <w:webHidden/>
            <w:sz w:val="28"/>
            <w:szCs w:val="28"/>
          </w:rPr>
          <w:t>413</w:t>
        </w:r>
      </w:hyperlink>
    </w:p>
    <w:p w:rsidR="00BB47A4" w:rsidRPr="00BB47A4" w:rsidRDefault="00915047" w:rsidP="00BB47A4">
      <w:pPr>
        <w:pStyle w:val="12"/>
        <w:tabs>
          <w:tab w:val="left" w:pos="440"/>
          <w:tab w:val="right" w:leader="dot" w:pos="9730"/>
        </w:tabs>
        <w:spacing w:line="24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58026815" w:history="1">
        <w:r w:rsidR="00BB47A4" w:rsidRPr="00BB47A4">
          <w:rPr>
            <w:rStyle w:val="a9"/>
            <w:rFonts w:ascii="Times New Roman" w:eastAsia="Times New Roman" w:hAnsi="Times New Roman" w:cs="Times New Roman"/>
            <w:bCs/>
            <w:noProof/>
            <w:color w:val="auto"/>
            <w:sz w:val="28"/>
            <w:szCs w:val="28"/>
            <w:u w:val="none"/>
            <w:lang w:eastAsia="ru-RU" w:bidi="ru-RU"/>
          </w:rPr>
          <w:t>4)</w:t>
        </w:r>
        <w:r w:rsidR="00BB47A4" w:rsidRPr="00BB47A4">
          <w:rPr>
            <w:rFonts w:ascii="Times New Roman" w:eastAsiaTheme="minorEastAsia" w:hAnsi="Times New Roman" w:cs="Times New Roman"/>
            <w:noProof/>
            <w:sz w:val="28"/>
            <w:szCs w:val="28"/>
            <w:lang w:eastAsia="ru-RU"/>
          </w:rPr>
          <w:tab/>
        </w:r>
        <w:r w:rsidR="00BB47A4" w:rsidRPr="00BB47A4">
          <w:rPr>
            <w:rStyle w:val="a9"/>
            <w:rFonts w:ascii="Times New Roman" w:eastAsia="Times New Roman" w:hAnsi="Times New Roman" w:cs="Times New Roman"/>
            <w:bCs/>
            <w:noProof/>
            <w:color w:val="auto"/>
            <w:sz w:val="28"/>
            <w:szCs w:val="28"/>
            <w:u w:val="none"/>
            <w:lang w:eastAsia="ru-RU" w:bidi="ru-RU"/>
          </w:rPr>
          <w:t>Представленные выше факторы приведут к отсутствию неудовлетворенности потребителей тепловой энергии централизованным теплоснабжением, т.е. количество жалоб на работу теплоснабжающих организаций будет равно 0</w:t>
        </w:r>
        <w:r w:rsidR="00BB47A4">
          <w:rPr>
            <w:rStyle w:val="a9"/>
            <w:rFonts w:ascii="Times New Roman" w:eastAsia="Times New Roman" w:hAnsi="Times New Roman" w:cs="Times New Roman"/>
            <w:bCs/>
            <w:noProof/>
            <w:color w:val="auto"/>
            <w:sz w:val="28"/>
            <w:szCs w:val="28"/>
            <w:u w:val="none"/>
            <w:lang w:eastAsia="ru-RU" w:bidi="ru-RU"/>
          </w:rPr>
          <w:t>…………………………………………………….</w:t>
        </w:r>
        <w:r w:rsidR="004B0F7D">
          <w:rPr>
            <w:rFonts w:ascii="Times New Roman" w:hAnsi="Times New Roman" w:cs="Times New Roman"/>
            <w:noProof/>
            <w:webHidden/>
            <w:sz w:val="28"/>
            <w:szCs w:val="28"/>
          </w:rPr>
          <w:t>413</w:t>
        </w:r>
      </w:hyperlink>
    </w:p>
    <w:p w:rsidR="00BB47A4" w:rsidRPr="00BB47A4" w:rsidRDefault="00915047" w:rsidP="00BB47A4">
      <w:pPr>
        <w:pStyle w:val="12"/>
        <w:tabs>
          <w:tab w:val="left" w:pos="440"/>
          <w:tab w:val="right" w:leader="dot" w:pos="9730"/>
        </w:tabs>
        <w:spacing w:line="24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58026816" w:history="1">
        <w:r w:rsidR="00BB47A4" w:rsidRPr="00BB47A4">
          <w:rPr>
            <w:rStyle w:val="a9"/>
            <w:rFonts w:ascii="Times New Roman" w:eastAsia="Times New Roman" w:hAnsi="Times New Roman" w:cs="Times New Roman"/>
            <w:bCs/>
            <w:noProof/>
            <w:color w:val="auto"/>
            <w:sz w:val="28"/>
            <w:szCs w:val="28"/>
            <w:u w:val="none"/>
            <w:lang w:eastAsia="ru-RU" w:bidi="ru-RU"/>
          </w:rPr>
          <w:t>5)</w:t>
        </w:r>
        <w:r w:rsidR="00BB47A4" w:rsidRPr="00BB47A4">
          <w:rPr>
            <w:rFonts w:ascii="Times New Roman" w:eastAsiaTheme="minorEastAsia" w:hAnsi="Times New Roman" w:cs="Times New Roman"/>
            <w:noProof/>
            <w:sz w:val="28"/>
            <w:szCs w:val="28"/>
            <w:lang w:eastAsia="ru-RU"/>
          </w:rPr>
          <w:tab/>
        </w:r>
        <w:r w:rsidR="00BB47A4" w:rsidRPr="00BB47A4">
          <w:rPr>
            <w:rStyle w:val="a9"/>
            <w:rFonts w:ascii="Times New Roman" w:eastAsia="Times New Roman" w:hAnsi="Times New Roman" w:cs="Times New Roman"/>
            <w:noProof/>
            <w:color w:val="auto"/>
            <w:sz w:val="28"/>
            <w:szCs w:val="28"/>
            <w:u w:val="none"/>
            <w:lang w:eastAsia="ru-RU" w:bidi="ru-RU"/>
          </w:rPr>
          <w:t>Перспективные показатели, определяемые приведенным объемом недоотпуска тепла в результате нарушений в подаче тепловой энергии</w:t>
        </w:r>
        <w:r w:rsidR="00BB47A4">
          <w:rPr>
            <w:rStyle w:val="a9"/>
            <w:rFonts w:ascii="Times New Roman" w:eastAsia="Times New Roman" w:hAnsi="Times New Roman" w:cs="Times New Roman"/>
            <w:noProof/>
            <w:color w:val="auto"/>
            <w:sz w:val="28"/>
            <w:szCs w:val="28"/>
            <w:u w:val="none"/>
            <w:lang w:eastAsia="ru-RU" w:bidi="ru-RU"/>
          </w:rPr>
          <w:t>…..</w:t>
        </w:r>
        <w:r w:rsidR="004B0F7D">
          <w:rPr>
            <w:rFonts w:ascii="Times New Roman" w:hAnsi="Times New Roman" w:cs="Times New Roman"/>
            <w:noProof/>
            <w:webHidden/>
            <w:sz w:val="28"/>
            <w:szCs w:val="28"/>
          </w:rPr>
          <w:t>413</w:t>
        </w:r>
      </w:hyperlink>
    </w:p>
    <w:p w:rsidR="00BB47A4" w:rsidRPr="00BB47A4" w:rsidRDefault="00915047" w:rsidP="00BB47A4">
      <w:pPr>
        <w:pStyle w:val="12"/>
        <w:tabs>
          <w:tab w:val="right" w:leader="dot" w:pos="9730"/>
        </w:tabs>
        <w:spacing w:line="24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58026817" w:history="1">
        <w:r w:rsidR="00BB47A4" w:rsidRPr="00BB47A4">
          <w:rPr>
            <w:rStyle w:val="a9"/>
            <w:rFonts w:ascii="Times New Roman" w:eastAsia="Times New Roman" w:hAnsi="Times New Roman" w:cs="Times New Roman"/>
            <w:noProof/>
            <w:color w:val="auto"/>
            <w:sz w:val="28"/>
            <w:szCs w:val="28"/>
            <w:u w:val="none"/>
            <w:lang w:eastAsia="ru-RU" w:bidi="ru-RU"/>
          </w:rPr>
          <w:t>Перспективные показатели, определяемые средневзвешенной величиной отклонений температуры теплоносителя, соответствующих отклонениям параметров теплоносителя в результате нарушений в подаче тепловой энергии</w:t>
        </w:r>
        <w:r w:rsidR="00BB47A4">
          <w:rPr>
            <w:rStyle w:val="a9"/>
            <w:rFonts w:ascii="Times New Roman" w:eastAsia="Times New Roman" w:hAnsi="Times New Roman" w:cs="Times New Roman"/>
            <w:noProof/>
            <w:color w:val="auto"/>
            <w:sz w:val="28"/>
            <w:szCs w:val="28"/>
            <w:u w:val="none"/>
            <w:lang w:eastAsia="ru-RU" w:bidi="ru-RU"/>
          </w:rPr>
          <w:t>……………………………………………………………………</w:t>
        </w:r>
        <w:r w:rsidR="0065362C">
          <w:rPr>
            <w:rStyle w:val="a9"/>
            <w:rFonts w:ascii="Times New Roman" w:eastAsia="Times New Roman" w:hAnsi="Times New Roman" w:cs="Times New Roman"/>
            <w:noProof/>
            <w:color w:val="auto"/>
            <w:sz w:val="28"/>
            <w:szCs w:val="28"/>
            <w:u w:val="none"/>
            <w:lang w:eastAsia="ru-RU" w:bidi="ru-RU"/>
          </w:rPr>
          <w:t>..</w:t>
        </w:r>
        <w:r w:rsidR="00BB47A4">
          <w:rPr>
            <w:rStyle w:val="a9"/>
            <w:rFonts w:ascii="Times New Roman" w:eastAsia="Times New Roman" w:hAnsi="Times New Roman" w:cs="Times New Roman"/>
            <w:noProof/>
            <w:color w:val="auto"/>
            <w:sz w:val="28"/>
            <w:szCs w:val="28"/>
            <w:u w:val="none"/>
            <w:lang w:eastAsia="ru-RU" w:bidi="ru-RU"/>
          </w:rPr>
          <w:t>…...</w:t>
        </w:r>
        <w:r w:rsidR="004B0F7D">
          <w:rPr>
            <w:rFonts w:ascii="Times New Roman" w:hAnsi="Times New Roman" w:cs="Times New Roman"/>
            <w:noProof/>
            <w:webHidden/>
            <w:sz w:val="28"/>
            <w:szCs w:val="28"/>
          </w:rPr>
          <w:t>415</w:t>
        </w:r>
      </w:hyperlink>
    </w:p>
    <w:p w:rsidR="00BB47A4" w:rsidRPr="00BB47A4" w:rsidRDefault="00915047" w:rsidP="00BB47A4">
      <w:pPr>
        <w:pStyle w:val="12"/>
        <w:tabs>
          <w:tab w:val="right" w:leader="dot" w:pos="9730"/>
        </w:tabs>
        <w:spacing w:line="24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58026818" w:history="1">
        <w:r w:rsidR="00BB47A4" w:rsidRP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 xml:space="preserve">Таблица 1- Показатели надежности системы теплоснабжения </w:t>
        </w:r>
        <w:r w:rsid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………</w:t>
        </w:r>
        <w:r w:rsidR="0065362C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..</w:t>
        </w:r>
        <w:r w:rsid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…...</w:t>
        </w:r>
        <w:r w:rsidR="004B0F7D">
          <w:rPr>
            <w:rFonts w:ascii="Times New Roman" w:hAnsi="Times New Roman" w:cs="Times New Roman"/>
            <w:noProof/>
            <w:webHidden/>
            <w:sz w:val="28"/>
            <w:szCs w:val="28"/>
          </w:rPr>
          <w:t>416</w:t>
        </w:r>
      </w:hyperlink>
    </w:p>
    <w:p w:rsidR="00BB47A4" w:rsidRPr="00BB47A4" w:rsidRDefault="00915047" w:rsidP="00BB47A4">
      <w:pPr>
        <w:pStyle w:val="12"/>
        <w:tabs>
          <w:tab w:val="right" w:leader="dot" w:pos="9730"/>
        </w:tabs>
        <w:spacing w:line="24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58026819" w:history="1">
        <w:r w:rsidR="00BB47A4" w:rsidRP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Таблица 2  Информация для оценки надежности систем теплоснабжения</w:t>
        </w:r>
        <w:r w:rsid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.</w:t>
        </w:r>
        <w:r w:rsidR="0065362C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..</w:t>
        </w:r>
        <w:r w:rsidR="004B0F7D">
          <w:rPr>
            <w:rFonts w:ascii="Times New Roman" w:hAnsi="Times New Roman" w:cs="Times New Roman"/>
            <w:noProof/>
            <w:webHidden/>
            <w:sz w:val="28"/>
            <w:szCs w:val="28"/>
          </w:rPr>
          <w:t>417</w:t>
        </w:r>
      </w:hyperlink>
    </w:p>
    <w:p w:rsidR="00BB47A4" w:rsidRPr="00BB47A4" w:rsidRDefault="00915047" w:rsidP="00BB47A4">
      <w:pPr>
        <w:pStyle w:val="12"/>
        <w:tabs>
          <w:tab w:val="right" w:leader="dot" w:pos="9730"/>
        </w:tabs>
        <w:spacing w:line="24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58026820" w:history="1">
        <w:r w:rsidR="00BB47A4" w:rsidRP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Рис 1</w:t>
        </w:r>
        <w:r w:rsid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 xml:space="preserve">. </w:t>
        </w:r>
        <w:r w:rsidR="00BB47A4" w:rsidRP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- Фрагмент карты расположения населенных пунктов Сокольского района</w:t>
        </w:r>
        <w:r w:rsidR="00BB47A4">
          <w:rPr>
            <w:rFonts w:ascii="Times New Roman" w:hAnsi="Times New Roman" w:cs="Times New Roman"/>
            <w:noProof/>
            <w:webHidden/>
            <w:sz w:val="28"/>
            <w:szCs w:val="28"/>
          </w:rPr>
          <w:t>…………………………………………………………………………</w:t>
        </w:r>
        <w:r w:rsidR="0065362C">
          <w:rPr>
            <w:rFonts w:ascii="Times New Roman" w:hAnsi="Times New Roman" w:cs="Times New Roman"/>
            <w:noProof/>
            <w:webHidden/>
            <w:sz w:val="28"/>
            <w:szCs w:val="28"/>
          </w:rPr>
          <w:t>..</w:t>
        </w:r>
        <w:r w:rsidR="00BB47A4">
          <w:rPr>
            <w:rFonts w:ascii="Times New Roman" w:hAnsi="Times New Roman" w:cs="Times New Roman"/>
            <w:noProof/>
            <w:webHidden/>
            <w:sz w:val="28"/>
            <w:szCs w:val="28"/>
          </w:rPr>
          <w:t>.</w:t>
        </w:r>
        <w:r w:rsidR="004B0F7D">
          <w:rPr>
            <w:rFonts w:ascii="Times New Roman" w:hAnsi="Times New Roman" w:cs="Times New Roman"/>
            <w:noProof/>
            <w:webHidden/>
            <w:sz w:val="28"/>
            <w:szCs w:val="28"/>
          </w:rPr>
          <w:t>418</w:t>
        </w:r>
      </w:hyperlink>
    </w:p>
    <w:p w:rsidR="00693231" w:rsidRPr="00BB47A4" w:rsidRDefault="00915047" w:rsidP="00BB47A4">
      <w:pPr>
        <w:jc w:val="both"/>
        <w:rPr>
          <w:rFonts w:ascii="Times New Roman" w:eastAsia="Times New Roman" w:hAnsi="Times New Roman" w:cs="Times New Roman"/>
          <w:lang w:eastAsia="ru-RU" w:bidi="ru-RU"/>
        </w:rPr>
      </w:pPr>
      <w:hyperlink w:anchor="_Toc158026821" w:history="1">
        <w:r w:rsidR="00BB47A4" w:rsidRP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Рис 2</w:t>
        </w:r>
        <w:r w:rsid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.</w:t>
        </w:r>
        <w:r w:rsidR="00BB47A4" w:rsidRP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 xml:space="preserve"> - Зоны теплоснабжения источников тепла </w:t>
        </w:r>
        <w:r w:rsid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г</w:t>
        </w:r>
        <w:r w:rsidR="00BB47A4" w:rsidRP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.</w:t>
        </w:r>
        <w:r w:rsid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 xml:space="preserve"> </w:t>
        </w:r>
        <w:r w:rsidR="00BB47A4" w:rsidRP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Сокол</w:t>
        </w:r>
        <w:r w:rsid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…</w:t>
        </w:r>
        <w:r w:rsidR="008F3A47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…..</w:t>
        </w:r>
        <w:r w:rsid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...…...</w:t>
        </w:r>
        <w:r w:rsidR="0065362C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..</w:t>
        </w:r>
        <w:r w:rsidR="00BB47A4">
          <w:rPr>
            <w:rStyle w:val="a9"/>
            <w:rFonts w:ascii="Times New Roman" w:hAnsi="Times New Roman" w:cs="Times New Roman"/>
            <w:noProof/>
            <w:color w:val="auto"/>
            <w:sz w:val="28"/>
            <w:szCs w:val="28"/>
            <w:u w:val="none"/>
            <w:lang w:bidi="ru-RU"/>
          </w:rPr>
          <w:t>…...</w:t>
        </w:r>
        <w:r w:rsidR="004B0F7D">
          <w:rPr>
            <w:rFonts w:ascii="Times New Roman" w:hAnsi="Times New Roman" w:cs="Times New Roman"/>
            <w:noProof/>
            <w:webHidden/>
            <w:sz w:val="28"/>
            <w:szCs w:val="28"/>
          </w:rPr>
          <w:t>419</w:t>
        </w:r>
      </w:hyperlink>
    </w:p>
    <w:p w:rsidR="00693231" w:rsidRPr="00693231" w:rsidRDefault="00693231" w:rsidP="00693231">
      <w:pPr>
        <w:rPr>
          <w:rFonts w:ascii="Times New Roman" w:eastAsia="Times New Roman" w:hAnsi="Times New Roman" w:cs="Times New Roman"/>
          <w:lang w:eastAsia="ru-RU" w:bidi="ru-RU"/>
        </w:rPr>
      </w:pPr>
    </w:p>
    <w:p w:rsidR="00693231" w:rsidRPr="00693231" w:rsidRDefault="00693231" w:rsidP="00693231">
      <w:pPr>
        <w:rPr>
          <w:rFonts w:ascii="Times New Roman" w:eastAsia="Times New Roman" w:hAnsi="Times New Roman" w:cs="Times New Roman"/>
          <w:lang w:eastAsia="ru-RU" w:bidi="ru-RU"/>
        </w:rPr>
      </w:pPr>
    </w:p>
    <w:p w:rsidR="00693231" w:rsidRDefault="00693231" w:rsidP="00693231">
      <w:pPr>
        <w:rPr>
          <w:rFonts w:ascii="Times New Roman" w:eastAsia="Times New Roman" w:hAnsi="Times New Roman" w:cs="Times New Roman"/>
          <w:b/>
          <w:bCs/>
          <w:color w:val="000000"/>
          <w:lang w:eastAsia="ru-RU" w:bidi="ru-RU"/>
        </w:rPr>
      </w:pPr>
    </w:p>
    <w:p w:rsidR="00693231" w:rsidRPr="00693231" w:rsidRDefault="00693231" w:rsidP="00693231">
      <w:pPr>
        <w:tabs>
          <w:tab w:val="left" w:pos="2505"/>
        </w:tabs>
        <w:rPr>
          <w:rFonts w:ascii="Times New Roman" w:eastAsia="Times New Roman" w:hAnsi="Times New Roman" w:cs="Times New Roman"/>
          <w:lang w:eastAsia="ru-RU" w:bidi="ru-RU"/>
        </w:rPr>
        <w:sectPr w:rsidR="00693231" w:rsidRPr="00693231" w:rsidSect="004B0F7D">
          <w:headerReference w:type="default" r:id="rId8"/>
          <w:footerReference w:type="default" r:id="rId9"/>
          <w:headerReference w:type="first" r:id="rId10"/>
          <w:pgSz w:w="11900" w:h="16840"/>
          <w:pgMar w:top="1134" w:right="567" w:bottom="1134" w:left="1985" w:header="340" w:footer="0" w:gutter="0"/>
          <w:pgNumType w:start="406"/>
          <w:cols w:space="720"/>
          <w:noEndnote/>
          <w:titlePg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color w:val="000000"/>
          <w:lang w:eastAsia="ru-RU" w:bidi="ru-RU"/>
        </w:rPr>
        <w:tab/>
      </w:r>
    </w:p>
    <w:p w:rsidR="007D3BEC" w:rsidRDefault="00263A79" w:rsidP="009E0581">
      <w:pPr>
        <w:keepNext/>
        <w:keepLines/>
        <w:widowControl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bookmarkStart w:id="0" w:name="_Toc53615746"/>
      <w:bookmarkStart w:id="1" w:name="_Toc158026813"/>
      <w:r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lastRenderedPageBreak/>
        <w:t>Показатели, определяемые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</w:t>
      </w:r>
      <w:bookmarkEnd w:id="0"/>
      <w:bookmarkEnd w:id="1"/>
      <w:r w:rsidR="009E0581"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.</w:t>
      </w:r>
    </w:p>
    <w:p w:rsidR="009E0581" w:rsidRPr="009E0581" w:rsidRDefault="009E0581" w:rsidP="009E0581">
      <w:pPr>
        <w:keepNext/>
        <w:keepLines/>
        <w:widowControl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Настоящая методика по анализу показателей, используемых для оценки надёжности систем теплоснабжения, разработана в соответствии с пунктом 2 постановления Правительства Российской Федерации от 8 августа 2012 г</w:t>
      </w:r>
      <w:r w:rsidR="009E0581"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ода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№ 808 «Об организации теплоснабжения в Российской Федерации и о внесении изменений в некоторые акты Правительства Российской Федерации» (Собрание законодательства Российской Федерации, 2012, № 34, ст. 4734). 2. 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Федерации, утверждённым постановлением Правительства Российской Федерации от 8 августа 2012 г</w:t>
      </w:r>
      <w:r w:rsid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ода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№ 808: 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надёжности электроснабжения источников тепловой энергии; </w:t>
      </w:r>
    </w:p>
    <w:p w:rsidR="009E0581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надёжности водоснабжения источников тепловой энергии;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надёжности топливоснабжения источников тепловой энергии; 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потребителей; 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уровня резервирования источников тепловой энергии и элементов тепловой сети путём их кольцевания и устройств перемычек; 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технического состояния тепловых сетей, характеризуемый наличием ветхих, подлежащих замене трубопроводов; 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интенсивности отказов систем теплоснабжения; 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относительного аварийного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недоотпуска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тепла; 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готовности теплоснабжающих организаций к проведению аварийно-восстановительных работ в системах теплоснабжения (итоговый показатель); 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укомплектованности ремонтным и оперативно-ремонтным персоналом; 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оснащённости машинами, специальными механизмами и оборудованием; 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наличия основных материально-технических ресурсов;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sym w:font="Symbol" w:char="F02D"/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показатель укомплектованности передвижными автономными источниками электропитания для ведения аварийно-восстановительных работ. </w:t>
      </w:r>
    </w:p>
    <w:p w:rsidR="00263A79" w:rsidRP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В методике используются понятия, термины и определения, установленные законодательством Российской Федерации, регулирующим правоотношения в сфере теплоснабжения и горячего водоснабжения.</w:t>
      </w:r>
    </w:p>
    <w:p w:rsidR="009E0581" w:rsidRPr="007D3BEC" w:rsidRDefault="009E0581" w:rsidP="009E0581">
      <w:pPr>
        <w:widowControl w:val="0"/>
        <w:tabs>
          <w:tab w:val="left" w:pos="1021"/>
        </w:tabs>
        <w:spacing w:after="0" w:line="240" w:lineRule="auto"/>
        <w:ind w:right="-183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9E0581" w:rsidRDefault="00263A79" w:rsidP="009E0581">
      <w:pPr>
        <w:widowControl w:val="0"/>
        <w:tabs>
          <w:tab w:val="left" w:pos="1021"/>
        </w:tabs>
        <w:spacing w:after="0" w:line="240" w:lineRule="auto"/>
        <w:ind w:right="-183"/>
        <w:jc w:val="center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Анализ и оценка надёжности системы теплоснабжения</w:t>
      </w:r>
      <w:r w:rsid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.</w:t>
      </w:r>
    </w:p>
    <w:p w:rsidR="009E0581" w:rsidRPr="007D3BEC" w:rsidRDefault="009E0581" w:rsidP="009E0581">
      <w:pPr>
        <w:widowControl w:val="0"/>
        <w:tabs>
          <w:tab w:val="left" w:pos="1021"/>
        </w:tabs>
        <w:spacing w:after="0" w:line="240" w:lineRule="auto"/>
        <w:ind w:right="-183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</w:pPr>
    </w:p>
    <w:p w:rsidR="00263A79" w:rsidRPr="009E0581" w:rsidRDefault="00263A79" w:rsidP="009E0581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bookmarkStart w:id="2" w:name="bookmark0"/>
      <w:bookmarkStart w:id="3" w:name="_Toc53615747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1. Надёжность системы теплоснабжения обеспечивается надёжной работой всех элементов системы теплоснабжения, а также внешних, по отношению к системе теплоснабжения, систем электро-, водо-, топливоснабжения источников тепловой энергии. </w:t>
      </w:r>
    </w:p>
    <w:p w:rsidR="00263A79" w:rsidRPr="009E0581" w:rsidRDefault="00263A79" w:rsidP="009E0581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2. Показатели надёжности системы теплоснабжения: </w:t>
      </w:r>
    </w:p>
    <w:p w:rsidR="00263A79" w:rsidRPr="009E0581" w:rsidRDefault="00263A79" w:rsidP="009E0581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а) показатель надёжности электроснабжения источников тепловой энергии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Kэ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) характеризуется наличием или отсутствием резервного электропитания: </w:t>
      </w:r>
    </w:p>
    <w:p w:rsidR="00263A79" w:rsidRPr="009E0581" w:rsidRDefault="00263A79" w:rsidP="009E0581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Kэ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=1,0 – при наличии резервного электроснабжения; </w:t>
      </w:r>
    </w:p>
    <w:p w:rsidR="00263A79" w:rsidRPr="009E0581" w:rsidRDefault="00263A79" w:rsidP="009E0581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Kэ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=0,6 – при отсутствии резервного электроснабжения; </w:t>
      </w:r>
    </w:p>
    <w:p w:rsidR="00263A79" w:rsidRPr="009E0581" w:rsidRDefault="00263A79" w:rsidP="009E0581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При наличии в системе теплоснабжения нескольких источников тепловой энергии общий показатель определяется по формуле:</w:t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  <w:r w:rsidRPr="007D3BEC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37760" behindDoc="1" locked="0" layoutInCell="1" allowOverlap="1" wp14:anchorId="54FB60DE" wp14:editId="4AC0047B">
            <wp:simplePos x="0" y="0"/>
            <wp:positionH relativeFrom="column">
              <wp:posOffset>228600</wp:posOffset>
            </wp:positionH>
            <wp:positionV relativeFrom="paragraph">
              <wp:posOffset>134440</wp:posOffset>
            </wp:positionV>
            <wp:extent cx="5046453" cy="1266610"/>
            <wp:effectExtent l="0" t="0" r="0" b="0"/>
            <wp:wrapTight wrapText="bothSides">
              <wp:wrapPolygon edited="0">
                <wp:start x="0" y="0"/>
                <wp:lineTo x="0" y="21123"/>
                <wp:lineTo x="21527" y="21123"/>
                <wp:lineTo x="21527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77" t="42398" r="26128" b="38675"/>
                    <a:stretch/>
                  </pic:blipFill>
                  <pic:spPr bwMode="auto">
                    <a:xfrm>
                      <a:off x="0" y="0"/>
                      <a:ext cx="5046453" cy="1266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где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Qi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,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Qn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- средние фактические тепловые нагрузки за предшествующие 12 месяцев по каждому i-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му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источнику тепловой энергии;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tч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– количество часов отопительного периода за предшествующие 12 месяцев. n – количество источников тепловой энергии.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б) показатель надёжности водоснабжения источников тепловой энергии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Кв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) характеризуется наличием или отсутствием резервного водоснабжения: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Кв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1,0 – при наличии резервного водоснабжения;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Кв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0,6 – при отсутствии резервного водоснабжения;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При наличии в системе теплоснабжения нескольких источников тепловой энергии общий показатель определяется по формуле: </w:t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  <w:r w:rsidRPr="007D3BEC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41856" behindDoc="1" locked="0" layoutInCell="1" allowOverlap="1" wp14:anchorId="4378C8BC" wp14:editId="0BB9BD46">
            <wp:simplePos x="0" y="0"/>
            <wp:positionH relativeFrom="column">
              <wp:posOffset>806355</wp:posOffset>
            </wp:positionH>
            <wp:positionV relativeFrom="paragraph">
              <wp:posOffset>32157</wp:posOffset>
            </wp:positionV>
            <wp:extent cx="4568190" cy="482600"/>
            <wp:effectExtent l="0" t="0" r="0" b="0"/>
            <wp:wrapTight wrapText="bothSides">
              <wp:wrapPolygon edited="0">
                <wp:start x="0" y="0"/>
                <wp:lineTo x="0" y="20463"/>
                <wp:lineTo x="21528" y="20463"/>
                <wp:lineTo x="21528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48" t="46118" r="38487" b="47931"/>
                    <a:stretch/>
                  </pic:blipFill>
                  <pic:spPr bwMode="auto">
                    <a:xfrm>
                      <a:off x="0" y="0"/>
                      <a:ext cx="4568190" cy="48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где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ист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i </w:t>
      </w:r>
      <w:proofErr w:type="spellStart"/>
      <w:proofErr w:type="gram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Кв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.</w:t>
      </w:r>
      <w:proofErr w:type="gram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,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ист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n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Кв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. - значения показателей надёжности отдельных источников тепловой энергии;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в) показатель надёжности топливоснабжения источников тепловой энергии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) характеризуется наличием или отсутствием резервного топливоснабжения: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1,0 – при наличии резервного топливоснабжения;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0,5 – при отсутствии резервного топливоснабжения;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При наличии в системе теплоснабжения нескольких источников тепловой энергии общий показатель определяется по формуле</w:t>
      </w:r>
      <w:r w:rsid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:</w:t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  <w:r w:rsidRPr="007D3BEC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45952" behindDoc="1" locked="0" layoutInCell="1" allowOverlap="1" wp14:anchorId="6F9EEC43" wp14:editId="3EDAAB45">
            <wp:simplePos x="0" y="0"/>
            <wp:positionH relativeFrom="column">
              <wp:posOffset>875521</wp:posOffset>
            </wp:positionH>
            <wp:positionV relativeFrom="paragraph">
              <wp:posOffset>125766</wp:posOffset>
            </wp:positionV>
            <wp:extent cx="3591560" cy="517525"/>
            <wp:effectExtent l="0" t="0" r="0" b="0"/>
            <wp:wrapTight wrapText="bothSides">
              <wp:wrapPolygon edited="0">
                <wp:start x="0" y="0"/>
                <wp:lineTo x="0" y="20672"/>
                <wp:lineTo x="21539" y="20672"/>
                <wp:lineTo x="21539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18" t="78103" r="38892" b="15198"/>
                    <a:stretch/>
                  </pic:blipFill>
                  <pic:spPr bwMode="auto">
                    <a:xfrm>
                      <a:off x="0" y="0"/>
                      <a:ext cx="3591560" cy="517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где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ист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i </w:t>
      </w:r>
      <w:proofErr w:type="spellStart"/>
      <w:proofErr w:type="gram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.</w:t>
      </w:r>
      <w:proofErr w:type="gram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,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ист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n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. - значения показателей надёжности отдельных 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lastRenderedPageBreak/>
        <w:t xml:space="preserve">источников тепловой энергии;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г)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 (Кб) характеризуется долей (%) тепловой нагрузки, не обеспеченной мощностью источников тепловой энергии и/или пропускной способностью тепловых сетей: Кб = 1,0 – полная обеспеченность; Кб = 0,8 – не обеспечена в размере 10% и менее; Кб = 0,5 – не обеспечена в размере более 10%. При наличии в системе теплоснабжения нескольких источников тепловой энергии общий показатель определяется по формуле</w:t>
      </w:r>
      <w:r w:rsid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:</w:t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  <w:r w:rsidRPr="007D3BEC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50048" behindDoc="1" locked="0" layoutInCell="1" allowOverlap="1" wp14:anchorId="65E94351" wp14:editId="40C85EAE">
            <wp:simplePos x="0" y="0"/>
            <wp:positionH relativeFrom="column">
              <wp:posOffset>831850</wp:posOffset>
            </wp:positionH>
            <wp:positionV relativeFrom="paragraph">
              <wp:posOffset>6350</wp:posOffset>
            </wp:positionV>
            <wp:extent cx="3714750" cy="465455"/>
            <wp:effectExtent l="0" t="0" r="0" b="0"/>
            <wp:wrapTight wrapText="bothSides">
              <wp:wrapPolygon edited="0">
                <wp:start x="0" y="0"/>
                <wp:lineTo x="0" y="20333"/>
                <wp:lineTo x="21489" y="20333"/>
                <wp:lineTo x="21489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79" t="42894" r="39042" b="50658"/>
                    <a:stretch/>
                  </pic:blipFill>
                  <pic:spPr bwMode="auto">
                    <a:xfrm>
                      <a:off x="0" y="0"/>
                      <a:ext cx="3714750" cy="465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где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ист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i </w:t>
      </w:r>
      <w:proofErr w:type="gram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Кб .</w:t>
      </w:r>
      <w:proofErr w:type="gram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,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ист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n Кб . - значения показателей надёжности отдельных источников тепловой энергии;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д) показатель уровня резервирования источников тепловой энергии и элементов тепловой сети путём их кольцевания и устройства перемычек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), характеризуемый отношением резервируемой расчётной тепловой нагрузки к сумме 10 расчётных тепловых нагрузок (%), подлежащих резервированию согласно схеме теплоснабжения поселений, городских округов, выраженный в %: Оценку уровня резервирования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): от 90% до 100%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1,0; от 70% до 90% включительно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0,7; от 50% до 70% включительно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0,5; от 30% до 50% включительно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0,3; менее 30% включительно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0,2. При наличии в системе теплоснабжения нескольких источников тепловой энергии общий показатель определяется по формуле</w:t>
      </w:r>
      <w:r w:rsidR="009E0581"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:</w:t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  <w:r w:rsidRPr="007D3BEC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54144" behindDoc="1" locked="0" layoutInCell="1" allowOverlap="1" wp14:anchorId="61E51466" wp14:editId="2C4C6911">
            <wp:simplePos x="0" y="0"/>
            <wp:positionH relativeFrom="column">
              <wp:posOffset>789042</wp:posOffset>
            </wp:positionH>
            <wp:positionV relativeFrom="paragraph">
              <wp:posOffset>11634</wp:posOffset>
            </wp:positionV>
            <wp:extent cx="3632200" cy="491490"/>
            <wp:effectExtent l="0" t="0" r="0" b="0"/>
            <wp:wrapTight wrapText="bothSides">
              <wp:wrapPolygon edited="0">
                <wp:start x="0" y="0"/>
                <wp:lineTo x="0" y="20930"/>
                <wp:lineTo x="21524" y="20930"/>
                <wp:lineTo x="21524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314" t="30001" r="38903" b="63552"/>
                    <a:stretch/>
                  </pic:blipFill>
                  <pic:spPr bwMode="auto">
                    <a:xfrm>
                      <a:off x="0" y="0"/>
                      <a:ext cx="3632200" cy="491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где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ист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i </w:t>
      </w:r>
      <w:proofErr w:type="spellStart"/>
      <w:proofErr w:type="gram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.</w:t>
      </w:r>
      <w:proofErr w:type="gram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,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ист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n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. - значения показателей надёжности отдельных источников тепловой энергии;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е) показатель технического состояния тепловых сетей (Кс), характеризуемый долей ветхих, подлежащих замене трубопроводов, определяется по формуле: </w:t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  <w:r w:rsidRPr="007D3BEC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0A678D1E" wp14:editId="419D6681">
            <wp:simplePos x="0" y="0"/>
            <wp:positionH relativeFrom="column">
              <wp:posOffset>590502</wp:posOffset>
            </wp:positionH>
            <wp:positionV relativeFrom="paragraph">
              <wp:posOffset>4445</wp:posOffset>
            </wp:positionV>
            <wp:extent cx="3898900" cy="516890"/>
            <wp:effectExtent l="0" t="0" r="0" b="0"/>
            <wp:wrapTight wrapText="bothSides">
              <wp:wrapPolygon edited="0">
                <wp:start x="0" y="0"/>
                <wp:lineTo x="0" y="20698"/>
                <wp:lineTo x="21530" y="20698"/>
                <wp:lineTo x="21530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08" t="50085" r="37654" b="43467"/>
                    <a:stretch/>
                  </pic:blipFill>
                  <pic:spPr bwMode="auto">
                    <a:xfrm>
                      <a:off x="0" y="0"/>
                      <a:ext cx="3898900" cy="516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где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экспл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Sc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- протяжённость тепловых сетей, находящихся в эксплуатации; ветх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Sc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- протяжённость ветхих тепловых сетей, находящихся в эксплуатации.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ж) показатель интенсивности отказов тепловых сетей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Котк.тс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), характеризуемый количеством вынужденных отключений участков тепловой сети с ограничением отпуска тепловой энергии потребителям, вызванным отказом и его устранением: </w:t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  <w:r w:rsidRPr="007D3BEC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4E723BF4" wp14:editId="0F72D85C">
            <wp:simplePos x="0" y="0"/>
            <wp:positionH relativeFrom="column">
              <wp:posOffset>780415</wp:posOffset>
            </wp:positionH>
            <wp:positionV relativeFrom="paragraph">
              <wp:posOffset>8255</wp:posOffset>
            </wp:positionV>
            <wp:extent cx="3217545" cy="727075"/>
            <wp:effectExtent l="0" t="0" r="0" b="0"/>
            <wp:wrapTight wrapText="bothSides">
              <wp:wrapPolygon edited="0">
                <wp:start x="0" y="0"/>
                <wp:lineTo x="0" y="20940"/>
                <wp:lineTo x="21485" y="20940"/>
                <wp:lineTo x="21485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307" t="75127" r="36247" b="15446"/>
                    <a:stretch/>
                  </pic:blipFill>
                  <pic:spPr bwMode="auto">
                    <a:xfrm>
                      <a:off x="0" y="0"/>
                      <a:ext cx="3217545" cy="727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где n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отк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– количество отказов за предыдущий год;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S – протяжённость тепловой сети (в двухтрубном исчислении) данной системы теплоснабжения [км]. В зависимости от интенсивности отказов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Иотк.тс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) определяется показатель надёжности тепловых сетей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Котк.тс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): 11 до 0,2 включительно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Котк.тс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1,0; от 0,2 до 0,6 включительно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Котк.тс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0,8; от 0,6 до 1,2 включительно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Котк.тс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0,6; свыше 1,2 -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Котк.тс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0,5. з) показатель относительного аварийного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недоотпуска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тепла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Кнед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) в результате внеплановых отключений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теплопотребляющих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установок потребителей определяется по формуле: </w:t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  <w:r w:rsidRPr="007D3BEC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6432" behindDoc="1" locked="0" layoutInCell="1" allowOverlap="1" wp14:anchorId="43E2F74C" wp14:editId="7535E916">
            <wp:simplePos x="0" y="0"/>
            <wp:positionH relativeFrom="column">
              <wp:posOffset>1013400</wp:posOffset>
            </wp:positionH>
            <wp:positionV relativeFrom="paragraph">
              <wp:posOffset>60121</wp:posOffset>
            </wp:positionV>
            <wp:extent cx="3165475" cy="790575"/>
            <wp:effectExtent l="0" t="0" r="0" b="0"/>
            <wp:wrapTight wrapText="bothSides">
              <wp:wrapPolygon edited="0">
                <wp:start x="0" y="0"/>
                <wp:lineTo x="0" y="21340"/>
                <wp:lineTo x="21448" y="21340"/>
                <wp:lineTo x="21448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703" t="19836" r="34864" b="69750"/>
                    <a:stretch/>
                  </pic:blipFill>
                  <pic:spPr bwMode="auto">
                    <a:xfrm>
                      <a:off x="0" y="0"/>
                      <a:ext cx="3165475" cy="790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Pr="009E0581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где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Qоткл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–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недоотпуск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тепла;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Qфакт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– фактический отпуск тепла системой теплоснабжения. В зависимости от величины относительного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недоотпуска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тепла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Qнед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) определяется показатель надёжности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Кнед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): до 0,1% включительно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Кнед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1,0; от 0,1% до 0,3% включительно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Кнед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0,8; от 0,3% до 0,5% включительно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Кнед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0,6; от 0,5% до 1,0% включительно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Кнед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0,5; свыше 1,0% -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Кнед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= 0,2.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и) показатель укомплектованности ремонтным и оперативно-ремонтным персоналом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Кп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) определяется как отношение фактической численности к численности по действующим нормативам, но не более 1,0.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к) показатель оснащённости машинами, специальными механизмами и оборудованием (Км) принимается как среднее отношение фактического наличия к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колличеству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, определённому по нормативам, по основной номенклатуре: </w:t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  <w:r w:rsidRPr="007D3BEC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70528" behindDoc="1" locked="0" layoutInCell="1" allowOverlap="1" wp14:anchorId="303BDFF6" wp14:editId="040BBAA9">
            <wp:simplePos x="0" y="0"/>
            <wp:positionH relativeFrom="column">
              <wp:posOffset>1315085</wp:posOffset>
            </wp:positionH>
            <wp:positionV relativeFrom="paragraph">
              <wp:posOffset>163195</wp:posOffset>
            </wp:positionV>
            <wp:extent cx="3018790" cy="672465"/>
            <wp:effectExtent l="0" t="0" r="0" b="0"/>
            <wp:wrapTight wrapText="bothSides">
              <wp:wrapPolygon edited="0">
                <wp:start x="0" y="0"/>
                <wp:lineTo x="0" y="20805"/>
                <wp:lineTo x="21400" y="20805"/>
                <wp:lineTo x="21400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748" t="78598" r="33609" b="13215"/>
                    <a:stretch/>
                  </pic:blipFill>
                  <pic:spPr bwMode="auto">
                    <a:xfrm>
                      <a:off x="0" y="0"/>
                      <a:ext cx="3018790" cy="672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7D3BEC" w:rsidRDefault="007D3BEC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где f </w:t>
      </w:r>
      <w:proofErr w:type="gram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Км ,</w:t>
      </w:r>
      <w:proofErr w:type="gram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n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Км - показатели, относящиеся к данному виду машин, механизмов, оборудования; n – число показателей, учтённых в числителе.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л) показатель наличия основных материально-технических ресурсов (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) определяется аналогично по формуле (10) по основной номенклатуре ресурсов 12 (трубы, компенсаторы, арматура, сварочные материалы и т.п.). Принимаемые для определения значения общего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частные показатели не должны превышать 1,0.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lastRenderedPageBreak/>
        <w:t xml:space="preserve">м) показатель укомплектованности передвижными автономными источниками электропитания (Кист) для ведения аварийно-восстановительных работ вычисляется как отношений фактического наличия данного оборудования (в единицах мощности – кВт) к потребности.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н) показатель готовности теплоснабжающих организаций к проведению аварийно- восстановительных работ в системах теплоснабжения (общий показатель) базируется на показателях: укомплектованности ремонтным и оперативно-ремонтным персоналом; оснащённости машинами, специальными механизмами и оборудованием; наличия основных материально-технических ресурсов; укомплектованности передвижными автономными источниками электропитания для ведения аварийно-восстановительных работ. Общий показатель готовности теплоснабжающих организаций к проведению восстановительных работ в системах теплоснабжения к выполнению аварийно-восстановительных работ определяется следующим образом: </w:t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  <w:r w:rsidRPr="007D3BEC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74624" behindDoc="1" locked="0" layoutInCell="1" allowOverlap="1" wp14:anchorId="51049426" wp14:editId="37B45CD5">
            <wp:simplePos x="0" y="0"/>
            <wp:positionH relativeFrom="column">
              <wp:posOffset>228480</wp:posOffset>
            </wp:positionH>
            <wp:positionV relativeFrom="paragraph">
              <wp:posOffset>113605</wp:posOffset>
            </wp:positionV>
            <wp:extent cx="5587365" cy="1310640"/>
            <wp:effectExtent l="0" t="0" r="0" b="0"/>
            <wp:wrapTight wrapText="bothSides">
              <wp:wrapPolygon edited="0">
                <wp:start x="0" y="0"/>
                <wp:lineTo x="0" y="21349"/>
                <wp:lineTo x="21504" y="21349"/>
                <wp:lineTo x="21504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48" t="57523" r="29141" b="25366"/>
                    <a:stretch/>
                  </pic:blipFill>
                  <pic:spPr bwMode="auto">
                    <a:xfrm>
                      <a:off x="0" y="0"/>
                      <a:ext cx="5587365" cy="1310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Общая оценка готовности даётся по следующим категориям: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Кгот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Кп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; Км;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Ктр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Категория готовности 0,85-1,0 0,75 и более удовлетворительная готовность 0,85-1,0 до 0,75 ограниченная готовность 0,7-0,84 0,5 и более ограниченная готовность 0,7-0,84 до 0,5 неготовность менее 0,7 - неготовность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3. Оценка надёжности систем теплоснабжения.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а) оценка надёжности источников тепловой энергии. В зависимости от полученных показателей надёжности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Кэ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,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Кв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,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 и источники тепловой энергии могут быть оценены как: надёжные - при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Кэ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=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Кв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=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=1; малонадёжные - при значении меньше 1 одного из показателей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Кэ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,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Кв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,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. ненадёжные - при значении меньше 1 у 2-х и более показателей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Кэ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,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Кв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,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Кт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. 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>б) оценка надёжности тепловых сетей. В зависимости от полученных показателей надёжности тепловые сети могут быть оценены как: высоконадёжные - более 0,9; 13 надёжные - 0,75 - 0,9; малонадёжные - 0,5 – 0,74; ненадёжные - менее 0,5.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в) оценка надёжности систем теплоснабжения в целом. Общая оценка надёжности системы теплоснабжения определяется исходя из оценок надёжности источников тепловой энергии и тепловых сетей: </w:t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  <w:r w:rsidRPr="007D3BEC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78720" behindDoc="1" locked="0" layoutInCell="1" allowOverlap="1" wp14:anchorId="1D5A27DB" wp14:editId="26B7B32F">
            <wp:simplePos x="0" y="0"/>
            <wp:positionH relativeFrom="column">
              <wp:posOffset>668116</wp:posOffset>
            </wp:positionH>
            <wp:positionV relativeFrom="paragraph">
              <wp:posOffset>8255</wp:posOffset>
            </wp:positionV>
            <wp:extent cx="5285740" cy="629285"/>
            <wp:effectExtent l="0" t="0" r="0" b="0"/>
            <wp:wrapTight wrapText="bothSides">
              <wp:wrapPolygon edited="0">
                <wp:start x="0" y="0"/>
                <wp:lineTo x="0" y="20924"/>
                <wp:lineTo x="21486" y="20924"/>
                <wp:lineTo x="21486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985" t="53556" r="32486" b="39748"/>
                    <a:stretch/>
                  </pic:blipFill>
                  <pic:spPr bwMode="auto">
                    <a:xfrm>
                      <a:off x="0" y="0"/>
                      <a:ext cx="5285740" cy="629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A79" w:rsidRPr="007D3BEC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t xml:space="preserve">Общая оценка надёжности системы теплоснабжения определяется как 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 w:bidi="ru-RU"/>
        </w:rPr>
        <w:lastRenderedPageBreak/>
        <w:t>наихудшая из оценок надёжности источников тепловой энергии и тепловых сетей.</w:t>
      </w:r>
    </w:p>
    <w:p w:rsidR="00263A79" w:rsidRPr="009E0581" w:rsidRDefault="00263A79" w:rsidP="008F3A47">
      <w:pPr>
        <w:keepNext/>
        <w:keepLines/>
        <w:widowControl w:val="0"/>
        <w:spacing w:after="0" w:line="240" w:lineRule="auto"/>
        <w:ind w:firstLine="851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bookmarkStart w:id="4" w:name="bookmark1"/>
      <w:bookmarkStart w:id="5" w:name="_Toc53615748"/>
      <w:bookmarkStart w:id="6" w:name="_Toc158026814"/>
      <w:bookmarkEnd w:id="2"/>
      <w:bookmarkEnd w:id="3"/>
      <w:r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Перспективные показатели, определяемые приведенной продолжительностью прекращений подачи тепловой энергии</w:t>
      </w:r>
      <w:bookmarkEnd w:id="4"/>
      <w:bookmarkEnd w:id="5"/>
      <w:bookmarkEnd w:id="6"/>
      <w:r w:rsidR="009E0581"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.</w:t>
      </w:r>
    </w:p>
    <w:p w:rsidR="007D3BEC" w:rsidRPr="007D3BEC" w:rsidRDefault="007D3BEC" w:rsidP="008F3A47">
      <w:pPr>
        <w:keepNext/>
        <w:keepLines/>
        <w:widowControl w:val="0"/>
        <w:spacing w:after="0" w:line="240" w:lineRule="auto"/>
        <w:ind w:firstLine="851"/>
        <w:jc w:val="both"/>
        <w:outlineLvl w:val="0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:rsidR="00263A79" w:rsidRPr="009E0581" w:rsidRDefault="00263A79" w:rsidP="008F3A47">
      <w:pPr>
        <w:widowControl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В соответствии с нормативной документацией (представленной выше) произведены расчеты перспективных показателей надежности. Результаты расчета показателей представлены в таблице 1.</w:t>
      </w:r>
    </w:p>
    <w:p w:rsidR="00263A79" w:rsidRPr="009E0581" w:rsidRDefault="00263A79" w:rsidP="008F3A47">
      <w:pPr>
        <w:widowControl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Перспективные показатели надежности, определяемые приведенной продолжительностью прекращений подачи тепловой энергии, учитываются при расчете показателя: «Показатель относительного аварийного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недоотпуска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тепла». С достаточной степенью точности спрогнозировать количество нарушений в подаче тепловой энергии (и время их ликвидации) к окончанию расчетного периода разработки Схемы теплоснабжения</w:t>
      </w:r>
      <w:r w:rsidR="007D3BEC"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невозможно. Расчет данных показателей произведен, исходя из следующих предположений:</w:t>
      </w:r>
    </w:p>
    <w:p w:rsidR="00263A79" w:rsidRPr="009E0581" w:rsidRDefault="00263A79" w:rsidP="007D3BEC">
      <w:pPr>
        <w:widowControl w:val="0"/>
        <w:numPr>
          <w:ilvl w:val="0"/>
          <w:numId w:val="1"/>
        </w:numPr>
        <w:tabs>
          <w:tab w:val="left" w:pos="996"/>
        </w:tabs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При условии реализации мероприятий по перекладке ветхих тепловых сетей, предус</w:t>
      </w:r>
      <w:r w:rsidR="007D3BEC"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мотренных Схемой теплоснабжения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, количество отказов на тепловых сетях сократится до минимума;</w:t>
      </w:r>
    </w:p>
    <w:p w:rsidR="00263A79" w:rsidRPr="009E0581" w:rsidRDefault="00263A79" w:rsidP="007D3BEC">
      <w:pPr>
        <w:widowControl w:val="0"/>
        <w:numPr>
          <w:ilvl w:val="0"/>
          <w:numId w:val="1"/>
        </w:numPr>
        <w:tabs>
          <w:tab w:val="left" w:pos="996"/>
        </w:tabs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Аварийных ситуаций, как и в настоящее время, в системах теплоснабжения происходить не будет; отказами будут являться незначительные инциденты, которые не приводят к длительным ограничениям или отключениям подачи тепловой энергии потребителям;</w:t>
      </w:r>
    </w:p>
    <w:p w:rsidR="00263A79" w:rsidRPr="009E0581" w:rsidRDefault="00263A79" w:rsidP="007D3BEC">
      <w:pPr>
        <w:widowControl w:val="0"/>
        <w:numPr>
          <w:ilvl w:val="0"/>
          <w:numId w:val="1"/>
        </w:numPr>
        <w:tabs>
          <w:tab w:val="left" w:pos="996"/>
        </w:tabs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Время, затрачиваемое на ликвидацию инцидента, не будет превышать нормативных значений;</w:t>
      </w:r>
    </w:p>
    <w:p w:rsidR="00263A79" w:rsidRPr="009E0581" w:rsidRDefault="00263A79" w:rsidP="009E0581">
      <w:pPr>
        <w:keepNext/>
        <w:keepLines/>
        <w:widowControl w:val="0"/>
        <w:numPr>
          <w:ilvl w:val="0"/>
          <w:numId w:val="1"/>
        </w:numPr>
        <w:tabs>
          <w:tab w:val="left" w:pos="996"/>
        </w:tabs>
        <w:spacing w:after="0" w:line="240" w:lineRule="auto"/>
        <w:ind w:right="-183" w:firstLine="851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bookmarkStart w:id="7" w:name="_Toc158026815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Представленные выше факторы приведут к отсутствию неудовлетворенности потребителей тепловой энергии централизованным теплоснабжением, т.е. количество жалоб на работу теплоснабжающих организаций будет равно 0.</w:t>
      </w:r>
      <w:bookmarkStart w:id="8" w:name="bookmark2"/>
      <w:bookmarkStart w:id="9" w:name="_Toc53615749"/>
      <w:bookmarkEnd w:id="7"/>
    </w:p>
    <w:p w:rsidR="00263A79" w:rsidRPr="009E0581" w:rsidRDefault="00263A79" w:rsidP="009E0581">
      <w:pPr>
        <w:keepNext/>
        <w:keepLines/>
        <w:widowControl w:val="0"/>
        <w:numPr>
          <w:ilvl w:val="0"/>
          <w:numId w:val="1"/>
        </w:numPr>
        <w:tabs>
          <w:tab w:val="left" w:pos="996"/>
        </w:tabs>
        <w:spacing w:after="0" w:line="240" w:lineRule="auto"/>
        <w:ind w:right="-183" w:firstLine="851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bookmarkStart w:id="10" w:name="_Toc158026816"/>
      <w:r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Перспективные показатели, определяемые приведенным объемом </w:t>
      </w:r>
      <w:proofErr w:type="spellStart"/>
      <w:r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недоотпуска</w:t>
      </w:r>
      <w:proofErr w:type="spellEnd"/>
      <w:r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тепла в результате нарушений в подаче</w:t>
      </w:r>
      <w:bookmarkEnd w:id="8"/>
      <w:r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тепловой энергии</w:t>
      </w:r>
      <w:bookmarkEnd w:id="9"/>
      <w:bookmarkEnd w:id="10"/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В соответствии с нормативной документацией (представленной выше) произведены расчеты перспективных показателей надежности. Результаты расчета показателей представлены в таблице 1.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Перспективные показатели надежности, определяемые приведенным объемом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недоотпуска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тепла в результате нарушений в подаче тепловой энергии, учитываются при расчете показателя «Показатель относительного аварийного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недоотпуска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тепла». С достаточной степенью точности спрогнозировать величину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недоотпуска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тепловой энергии потребителям к окончанию расчетного периода разработ</w:t>
      </w:r>
      <w:r w:rsidR="007D3BEC"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ки Схемы теплоснабжения 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невозможно. Расчет данного показателя произведен, исходя из следующих предположений:</w:t>
      </w:r>
    </w:p>
    <w:p w:rsidR="00263A79" w:rsidRPr="009E0581" w:rsidRDefault="00263A79" w:rsidP="007D3BEC">
      <w:pPr>
        <w:widowControl w:val="0"/>
        <w:numPr>
          <w:ilvl w:val="0"/>
          <w:numId w:val="2"/>
        </w:numPr>
        <w:tabs>
          <w:tab w:val="left" w:pos="997"/>
        </w:tabs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При условии реализации мероприятий по перекладке ветхих тепловых сетей, предусмотренных Схемой теплоснабжения, количество отказов на тепловых сетях сократится до минимума;</w:t>
      </w:r>
    </w:p>
    <w:p w:rsidR="00263A79" w:rsidRPr="009E0581" w:rsidRDefault="00263A79" w:rsidP="007D3BEC">
      <w:pPr>
        <w:widowControl w:val="0"/>
        <w:numPr>
          <w:ilvl w:val="0"/>
          <w:numId w:val="2"/>
        </w:numPr>
        <w:tabs>
          <w:tab w:val="left" w:pos="997"/>
        </w:tabs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Аварийных ситуаций, как и в настоящее время, в системах теплоснабжения происходить не будет; отказами будут являться 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lastRenderedPageBreak/>
        <w:t>незначительные инциденты, которые не приводят к длительным и серьезным ограничениям или отключениям подачи тепловой энергии потребителям;</w:t>
      </w:r>
    </w:p>
    <w:p w:rsidR="007D3BEC" w:rsidRPr="009E0581" w:rsidRDefault="00263A79" w:rsidP="009E0581">
      <w:pPr>
        <w:keepNext/>
        <w:keepLines/>
        <w:widowControl w:val="0"/>
        <w:numPr>
          <w:ilvl w:val="0"/>
          <w:numId w:val="2"/>
        </w:numPr>
        <w:tabs>
          <w:tab w:val="left" w:pos="997"/>
        </w:tabs>
        <w:spacing w:after="0" w:line="240" w:lineRule="auto"/>
        <w:ind w:right="-183" w:firstLine="851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Время, затрачиваемое на ликвидацию инцидента, не будет превышать нормативных</w:t>
      </w:r>
      <w:r w:rsidR="007D3BEC"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значений.</w:t>
      </w:r>
      <w:bookmarkStart w:id="11" w:name="_Toc53615750"/>
      <w:bookmarkStart w:id="12" w:name="_Toc158026817"/>
    </w:p>
    <w:p w:rsidR="00263A79" w:rsidRPr="009E0581" w:rsidRDefault="00263A79" w:rsidP="008F3A47">
      <w:pPr>
        <w:keepNext/>
        <w:keepLines/>
        <w:widowControl w:val="0"/>
        <w:tabs>
          <w:tab w:val="left" w:pos="997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Перспективные показатели, определяемые средневзвешенной величиной отклонений температуры теплоносителя, соответствующих отклонениям параметров теплоносителя в результате нарушений в подаче тепловой энергии</w:t>
      </w:r>
      <w:bookmarkEnd w:id="11"/>
      <w:bookmarkEnd w:id="12"/>
      <w:r w:rsidR="00326EB9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.</w:t>
      </w:r>
    </w:p>
    <w:p w:rsidR="007D3BEC" w:rsidRPr="009E0581" w:rsidRDefault="007D3BEC" w:rsidP="008F3A47">
      <w:pPr>
        <w:keepNext/>
        <w:keepLines/>
        <w:widowControl w:val="0"/>
        <w:tabs>
          <w:tab w:val="left" w:pos="997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В соответствии с нормативной документацией (представленной выше) произведены расчеты перспективных показателей надежности. Результаты расчета показателей представлены</w:t>
      </w:r>
      <w:r w:rsidR="007D3BEC"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в таблице 1.</w:t>
      </w:r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Перспективные показатели надежности, определяемые средневзвешенной величиной отклонений температуры теплоносителя, соответствующих отклонениям параметров теплоносителя в результате нарушений в подаче тепловой энергии, учитываются при расчете показателя «Показатель относительного аварийного </w:t>
      </w:r>
      <w:proofErr w:type="spellStart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недоотпуска</w:t>
      </w:r>
      <w:proofErr w:type="spell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тепла». С достаточной степенью точности спрогнозировать количество нарушений в подаче тепловой энергии (и время их ликвидации) к окончанию расчетного периода разработки Схемы теплоснабжения Сокольского района Вологодской области невозможно. Расчет данных показателей произведен, исходя из следующих предположений:</w:t>
      </w:r>
    </w:p>
    <w:p w:rsidR="00263A79" w:rsidRPr="009E0581" w:rsidRDefault="00263A79" w:rsidP="007D3BEC">
      <w:pPr>
        <w:widowControl w:val="0"/>
        <w:numPr>
          <w:ilvl w:val="0"/>
          <w:numId w:val="3"/>
        </w:numPr>
        <w:tabs>
          <w:tab w:val="left" w:pos="996"/>
        </w:tabs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При условии реализации мероприятий по перекладке ветхих тепловых сетей, предусмотренных Схемой теплоснабжения, количество отказов на тепловых сетях сократится до минимума;</w:t>
      </w:r>
    </w:p>
    <w:p w:rsidR="00263A79" w:rsidRPr="009E0581" w:rsidRDefault="00263A79" w:rsidP="007D3BEC">
      <w:pPr>
        <w:widowControl w:val="0"/>
        <w:numPr>
          <w:ilvl w:val="0"/>
          <w:numId w:val="3"/>
        </w:numPr>
        <w:tabs>
          <w:tab w:val="left" w:pos="996"/>
        </w:tabs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Аварийных ситуаций, как и в настоящее время, в системах теплоснабжения происходить не будет; отказами будут являться незначительные инциденты, которые не приводят к длительным и серьезным ограничениям или отключениям подачи тепловой энергии потребителям;</w:t>
      </w:r>
    </w:p>
    <w:p w:rsidR="00263A79" w:rsidRPr="009E0581" w:rsidRDefault="00263A79" w:rsidP="007D3BEC">
      <w:pPr>
        <w:widowControl w:val="0"/>
        <w:numPr>
          <w:ilvl w:val="0"/>
          <w:numId w:val="3"/>
        </w:numPr>
        <w:tabs>
          <w:tab w:val="left" w:pos="996"/>
        </w:tabs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Время, затрачиваемое на ликвидацию инцидента, не будет превышать нормативных значений;</w:t>
      </w:r>
    </w:p>
    <w:p w:rsidR="00263A79" w:rsidRPr="009E0581" w:rsidRDefault="00263A79" w:rsidP="007D3BEC">
      <w:pPr>
        <w:widowControl w:val="0"/>
        <w:numPr>
          <w:ilvl w:val="0"/>
          <w:numId w:val="3"/>
        </w:numPr>
        <w:tabs>
          <w:tab w:val="left" w:pos="996"/>
        </w:tabs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Представленные выше факторы приведут к отсутствию неудовлетворенности потребителей тепловой энергии централизованным теплоснабжением, т.е. количество жалоб на работу теплоснабжающих организаций будет равно 0.</w:t>
      </w:r>
      <w:bookmarkStart w:id="13" w:name="_Toc53615751"/>
      <w:r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</w:t>
      </w:r>
    </w:p>
    <w:p w:rsidR="00263A79" w:rsidRPr="009E0581" w:rsidRDefault="00263A79" w:rsidP="007D3BEC">
      <w:pPr>
        <w:widowControl w:val="0"/>
        <w:numPr>
          <w:ilvl w:val="0"/>
          <w:numId w:val="3"/>
        </w:numPr>
        <w:tabs>
          <w:tab w:val="left" w:pos="996"/>
        </w:tabs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Результаты расчета перспективных показателей надежности</w:t>
      </w:r>
      <w:bookmarkEnd w:id="13"/>
    </w:p>
    <w:p w:rsidR="00263A79" w:rsidRPr="009E0581" w:rsidRDefault="00263A79" w:rsidP="007D3BEC">
      <w:pPr>
        <w:widowControl w:val="0"/>
        <w:spacing w:after="0"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Показатели надежности каждой системы теплоснабжения к окончанию расчетного периода акт</w:t>
      </w:r>
      <w:r w:rsidR="007D3BEC"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уализации Схемы </w:t>
      </w:r>
      <w:proofErr w:type="gramStart"/>
      <w:r w:rsidR="007D3BEC"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теплоснабжения 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представлены</w:t>
      </w:r>
      <w:proofErr w:type="gramEnd"/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в таблице ниже.</w:t>
      </w:r>
    </w:p>
    <w:p w:rsidR="00326EB9" w:rsidRDefault="00263A79" w:rsidP="007D3BEC">
      <w:pPr>
        <w:spacing w:line="240" w:lineRule="auto"/>
        <w:ind w:right="-183" w:firstLine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Общий показатель надежности системы теплоснабжения города на расчетный срок составит 0,81, что сохранит показатель надежности по существующему положению - 0,81. Увеличение численного значения показателя надежности будет являться следствием повышения надежности тепловых сетей за счет перекладки ветхих теплопроводов, а также реконструкции котельных с заменой изношенного оборудования </w:t>
      </w:r>
      <w:r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lastRenderedPageBreak/>
        <w:t>Перспективное значение позволит классифицировать системы теплосна</w:t>
      </w:r>
      <w:r w:rsidR="00D90B73"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бжения,</w:t>
      </w:r>
      <w:r w:rsidR="00326EB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 </w:t>
      </w:r>
      <w:r w:rsidR="00D90B73"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как</w:t>
      </w:r>
      <w:r w:rsidR="00326EB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 </w:t>
      </w:r>
      <w:r w:rsidR="00D90B73" w:rsidRPr="009E05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«надежную»</w:t>
      </w:r>
      <w:r w:rsidR="00326EB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>.</w:t>
      </w:r>
    </w:p>
    <w:p w:rsidR="00326EB9" w:rsidRPr="00326EB9" w:rsidRDefault="00326EB9" w:rsidP="00326EB9">
      <w:pP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p w:rsidR="00326EB9" w:rsidRPr="00326EB9" w:rsidRDefault="00326EB9" w:rsidP="00326EB9">
      <w:pP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p w:rsidR="00326EB9" w:rsidRPr="00326EB9" w:rsidRDefault="00326EB9" w:rsidP="00326EB9">
      <w:pP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p w:rsidR="00326EB9" w:rsidRPr="00326EB9" w:rsidRDefault="00326EB9" w:rsidP="00326EB9">
      <w:pP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p w:rsidR="00326EB9" w:rsidRPr="00326EB9" w:rsidRDefault="00326EB9" w:rsidP="00326EB9">
      <w:pP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p w:rsidR="00326EB9" w:rsidRDefault="00326EB9" w:rsidP="00326EB9">
      <w:pP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p w:rsidR="00263A79" w:rsidRPr="00326EB9" w:rsidRDefault="00326EB9" w:rsidP="00326EB9">
      <w:pPr>
        <w:tabs>
          <w:tab w:val="left" w:pos="3330"/>
        </w:tabs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sectPr w:rsidR="00263A79" w:rsidRPr="00326EB9" w:rsidSect="00795BD2">
          <w:headerReference w:type="even" r:id="rId18"/>
          <w:headerReference w:type="default" r:id="rId19"/>
          <w:footerReference w:type="default" r:id="rId20"/>
          <w:headerReference w:type="first" r:id="rId21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ab/>
      </w:r>
    </w:p>
    <w:p w:rsidR="0065362C" w:rsidRDefault="00F940C2" w:rsidP="00326EB9">
      <w:pPr>
        <w:pStyle w:val="11"/>
        <w:jc w:val="right"/>
        <w:rPr>
          <w:rFonts w:ascii="Times New Roman" w:hAnsi="Times New Roman"/>
          <w:color w:val="auto"/>
          <w:sz w:val="24"/>
          <w:szCs w:val="24"/>
        </w:rPr>
      </w:pPr>
      <w:bookmarkStart w:id="14" w:name="_Toc158026818"/>
      <w:r w:rsidRPr="00326EB9">
        <w:rPr>
          <w:rFonts w:ascii="Times New Roman" w:hAnsi="Times New Roman"/>
          <w:color w:val="auto"/>
          <w:sz w:val="24"/>
          <w:szCs w:val="24"/>
        </w:rPr>
        <w:lastRenderedPageBreak/>
        <w:t>Таблица 1</w:t>
      </w:r>
      <w:r w:rsidR="00F2115C" w:rsidRPr="00326EB9">
        <w:rPr>
          <w:rFonts w:ascii="Times New Roman" w:hAnsi="Times New Roman"/>
          <w:color w:val="auto"/>
          <w:sz w:val="24"/>
          <w:szCs w:val="24"/>
        </w:rPr>
        <w:t xml:space="preserve">- Показатели надежности системы теплоснабжения </w:t>
      </w:r>
      <w:bookmarkEnd w:id="14"/>
    </w:p>
    <w:p w:rsidR="0059235B" w:rsidRDefault="00C927E4" w:rsidP="00326EB9">
      <w:pPr>
        <w:pStyle w:val="11"/>
        <w:jc w:val="right"/>
        <w:rPr>
          <w:rFonts w:ascii="Times New Roman" w:hAnsi="Times New Roman"/>
          <w:bCs/>
          <w:color w:val="000000"/>
        </w:rPr>
      </w:pPr>
      <w:r>
        <w:rPr>
          <w:noProof/>
        </w:rPr>
        <w:drawing>
          <wp:inline distT="0" distB="0" distL="0" distR="0" wp14:anchorId="42DFF16B" wp14:editId="1A580112">
            <wp:extent cx="8951402" cy="5854250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959296" cy="5859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35B" w:rsidRPr="0065362C" w:rsidRDefault="0059235B" w:rsidP="0065362C">
      <w:pPr>
        <w:pStyle w:val="11"/>
        <w:jc w:val="right"/>
        <w:rPr>
          <w:rFonts w:ascii="Times New Roman" w:hAnsi="Times New Roman"/>
          <w:color w:val="auto"/>
          <w:sz w:val="24"/>
          <w:szCs w:val="24"/>
        </w:rPr>
      </w:pPr>
      <w:bookmarkStart w:id="15" w:name="_Toc158026819"/>
      <w:r w:rsidRPr="0065362C">
        <w:rPr>
          <w:rFonts w:ascii="Times New Roman" w:hAnsi="Times New Roman"/>
          <w:color w:val="auto"/>
          <w:sz w:val="24"/>
          <w:szCs w:val="24"/>
        </w:rPr>
        <w:lastRenderedPageBreak/>
        <w:t>Таблица 2</w:t>
      </w:r>
      <w:r w:rsidR="0065362C">
        <w:rPr>
          <w:rFonts w:ascii="Times New Roman" w:hAnsi="Times New Roman"/>
          <w:color w:val="auto"/>
          <w:sz w:val="24"/>
          <w:szCs w:val="24"/>
        </w:rPr>
        <w:t>-</w:t>
      </w:r>
      <w:r w:rsidR="000C466D" w:rsidRPr="0065362C">
        <w:rPr>
          <w:rFonts w:ascii="Times New Roman" w:hAnsi="Times New Roman"/>
          <w:color w:val="auto"/>
          <w:sz w:val="24"/>
          <w:szCs w:val="24"/>
        </w:rPr>
        <w:t xml:space="preserve"> Информация для оценки надежности систем теплоснабжения</w:t>
      </w:r>
      <w:bookmarkEnd w:id="15"/>
    </w:p>
    <w:p w:rsidR="00FB597C" w:rsidRDefault="00FB597C" w:rsidP="00263A79"/>
    <w:p w:rsidR="00FC036D" w:rsidRDefault="00C927E4" w:rsidP="00263A79">
      <w:r>
        <w:rPr>
          <w:noProof/>
          <w:lang w:eastAsia="ru-RU"/>
        </w:rPr>
        <w:drawing>
          <wp:inline distT="0" distB="0" distL="0" distR="0" wp14:anchorId="6B5ED5A5" wp14:editId="23043F82">
            <wp:extent cx="9611360" cy="4203700"/>
            <wp:effectExtent l="0" t="0" r="8890" b="635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611360" cy="420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6" w:name="_GoBack"/>
      <w:bookmarkEnd w:id="16"/>
    </w:p>
    <w:p w:rsidR="00FB597C" w:rsidRDefault="00FB597C" w:rsidP="00263A79"/>
    <w:p w:rsidR="0059235B" w:rsidRDefault="0059235B" w:rsidP="00263A79">
      <w:pPr>
        <w:rPr>
          <w:rFonts w:ascii="Times New Roman" w:eastAsia="Times New Roman" w:hAnsi="Times New Roman" w:cs="Times New Roman"/>
          <w:bCs/>
          <w:color w:val="000000"/>
          <w:lang w:eastAsia="ru-RU" w:bidi="ru-RU"/>
        </w:rPr>
      </w:pPr>
    </w:p>
    <w:p w:rsidR="00FB597C" w:rsidRDefault="00FB597C" w:rsidP="00263A79">
      <w:pPr>
        <w:rPr>
          <w:rFonts w:ascii="Times New Roman" w:eastAsia="Times New Roman" w:hAnsi="Times New Roman" w:cs="Times New Roman"/>
          <w:bCs/>
          <w:color w:val="000000"/>
          <w:lang w:eastAsia="ru-RU" w:bidi="ru-RU"/>
        </w:rPr>
      </w:pPr>
    </w:p>
    <w:p w:rsidR="00FB597C" w:rsidRDefault="00FB597C" w:rsidP="00263A79">
      <w:pPr>
        <w:rPr>
          <w:rFonts w:ascii="Times New Roman" w:eastAsia="Times New Roman" w:hAnsi="Times New Roman" w:cs="Times New Roman"/>
          <w:bCs/>
          <w:color w:val="000000"/>
          <w:lang w:eastAsia="ru-RU" w:bidi="ru-RU"/>
        </w:rPr>
      </w:pPr>
    </w:p>
    <w:p w:rsidR="00FB597C" w:rsidRDefault="00FB597C" w:rsidP="00263A79">
      <w:pPr>
        <w:rPr>
          <w:rFonts w:ascii="Times New Roman" w:eastAsia="Times New Roman" w:hAnsi="Times New Roman" w:cs="Times New Roman"/>
          <w:bCs/>
          <w:color w:val="000000"/>
          <w:lang w:eastAsia="ru-RU" w:bidi="ru-RU"/>
        </w:rPr>
      </w:pPr>
    </w:p>
    <w:p w:rsidR="00FB597C" w:rsidRDefault="0065362C" w:rsidP="00263A79">
      <w:pPr>
        <w:rPr>
          <w:rFonts w:ascii="Times New Roman" w:eastAsia="Times New Roman" w:hAnsi="Times New Roman" w:cs="Times New Roman"/>
          <w:bCs/>
          <w:color w:val="000000"/>
          <w:lang w:eastAsia="ru-RU" w:bidi="ru-RU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lang w:eastAsia="ru-RU"/>
        </w:rPr>
        <w:lastRenderedPageBreak/>
        <w:drawing>
          <wp:inline distT="0" distB="0" distL="0" distR="0" wp14:anchorId="1BECE3F9" wp14:editId="69F299BA">
            <wp:extent cx="9611360" cy="501205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Макет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11360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4C6" w:rsidRPr="0065362C" w:rsidRDefault="007B54C6" w:rsidP="0065362C">
      <w:pPr>
        <w:pStyle w:val="11"/>
        <w:jc w:val="center"/>
        <w:rPr>
          <w:rFonts w:ascii="Times New Roman" w:hAnsi="Times New Roman"/>
          <w:color w:val="auto"/>
          <w:sz w:val="24"/>
          <w:szCs w:val="28"/>
        </w:rPr>
      </w:pPr>
      <w:bookmarkStart w:id="17" w:name="_Toc158026820"/>
      <w:r w:rsidRPr="0065362C">
        <w:rPr>
          <w:rFonts w:ascii="Times New Roman" w:hAnsi="Times New Roman"/>
          <w:color w:val="auto"/>
          <w:sz w:val="24"/>
          <w:szCs w:val="28"/>
        </w:rPr>
        <w:t>Рис 1</w:t>
      </w:r>
      <w:r w:rsidR="0065362C">
        <w:rPr>
          <w:rFonts w:ascii="Times New Roman" w:hAnsi="Times New Roman"/>
          <w:color w:val="auto"/>
          <w:sz w:val="24"/>
          <w:szCs w:val="28"/>
        </w:rPr>
        <w:t xml:space="preserve">. </w:t>
      </w:r>
      <w:r w:rsidR="000C466D" w:rsidRPr="0065362C">
        <w:rPr>
          <w:rFonts w:ascii="Times New Roman" w:hAnsi="Times New Roman"/>
          <w:color w:val="auto"/>
          <w:sz w:val="24"/>
          <w:szCs w:val="28"/>
        </w:rPr>
        <w:t>- Фрагмент карты расположения населенных пунктов Сокольского района</w:t>
      </w:r>
      <w:bookmarkEnd w:id="17"/>
    </w:p>
    <w:p w:rsidR="007B54C6" w:rsidRDefault="007B54C6" w:rsidP="00263A79">
      <w:pPr>
        <w:rPr>
          <w:rFonts w:ascii="Times New Roman" w:eastAsia="Times New Roman" w:hAnsi="Times New Roman" w:cs="Times New Roman"/>
          <w:bCs/>
          <w:color w:val="000000"/>
          <w:lang w:eastAsia="ru-RU" w:bidi="ru-RU"/>
        </w:rPr>
      </w:pPr>
    </w:p>
    <w:p w:rsidR="007B54C6" w:rsidRDefault="007B54C6" w:rsidP="0065362C">
      <w:pPr>
        <w:jc w:val="center"/>
        <w:rPr>
          <w:rFonts w:ascii="Times New Roman" w:eastAsia="Times New Roman" w:hAnsi="Times New Roman" w:cs="Times New Roman"/>
          <w:bCs/>
          <w:color w:val="000000"/>
          <w:lang w:eastAsia="ru-RU" w:bidi="ru-RU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lang w:eastAsia="ru-RU"/>
        </w:rPr>
        <w:lastRenderedPageBreak/>
        <w:drawing>
          <wp:inline distT="0" distB="0" distL="0" distR="0" wp14:anchorId="280A44EB" wp14:editId="2D02AD9C">
            <wp:extent cx="8171688" cy="5440680"/>
            <wp:effectExtent l="0" t="0" r="127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Макет2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71688" cy="544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4C6" w:rsidRPr="0065362C" w:rsidRDefault="007B54C6" w:rsidP="0065362C">
      <w:pPr>
        <w:pStyle w:val="11"/>
        <w:jc w:val="center"/>
        <w:rPr>
          <w:rFonts w:ascii="Times New Roman" w:hAnsi="Times New Roman"/>
          <w:sz w:val="24"/>
          <w:szCs w:val="24"/>
        </w:rPr>
      </w:pPr>
      <w:bookmarkStart w:id="18" w:name="_Toc158026821"/>
      <w:r w:rsidRPr="0065362C">
        <w:rPr>
          <w:rFonts w:ascii="Times New Roman" w:hAnsi="Times New Roman"/>
          <w:color w:val="auto"/>
          <w:sz w:val="24"/>
          <w:szCs w:val="24"/>
        </w:rPr>
        <w:t>Рис 2</w:t>
      </w:r>
      <w:r w:rsidR="0065362C" w:rsidRPr="0065362C">
        <w:rPr>
          <w:rFonts w:ascii="Times New Roman" w:hAnsi="Times New Roman"/>
          <w:color w:val="auto"/>
          <w:sz w:val="24"/>
          <w:szCs w:val="24"/>
        </w:rPr>
        <w:t>.</w:t>
      </w:r>
      <w:r w:rsidR="000C466D" w:rsidRPr="0065362C">
        <w:rPr>
          <w:rFonts w:ascii="Times New Roman" w:hAnsi="Times New Roman"/>
          <w:color w:val="auto"/>
          <w:sz w:val="24"/>
          <w:szCs w:val="24"/>
        </w:rPr>
        <w:t xml:space="preserve"> - Зоны </w:t>
      </w:r>
      <w:proofErr w:type="gramStart"/>
      <w:r w:rsidR="000C466D" w:rsidRPr="0065362C">
        <w:rPr>
          <w:rFonts w:ascii="Times New Roman" w:hAnsi="Times New Roman"/>
          <w:color w:val="auto"/>
          <w:sz w:val="24"/>
          <w:szCs w:val="24"/>
        </w:rPr>
        <w:t>теплоснабжения  источников</w:t>
      </w:r>
      <w:proofErr w:type="gramEnd"/>
      <w:r w:rsidR="00A04DA8" w:rsidRPr="0065362C">
        <w:rPr>
          <w:rFonts w:ascii="Times New Roman" w:hAnsi="Times New Roman"/>
          <w:color w:val="auto"/>
          <w:sz w:val="24"/>
          <w:szCs w:val="24"/>
        </w:rPr>
        <w:t xml:space="preserve"> </w:t>
      </w:r>
      <w:r w:rsidR="000C466D" w:rsidRPr="0065362C">
        <w:rPr>
          <w:rFonts w:ascii="Times New Roman" w:hAnsi="Times New Roman"/>
          <w:color w:val="auto"/>
          <w:sz w:val="24"/>
          <w:szCs w:val="24"/>
        </w:rPr>
        <w:t xml:space="preserve"> тепла г.</w:t>
      </w:r>
      <w:r w:rsidR="0065362C" w:rsidRPr="0065362C">
        <w:rPr>
          <w:rFonts w:ascii="Times New Roman" w:hAnsi="Times New Roman"/>
          <w:color w:val="auto"/>
          <w:sz w:val="24"/>
          <w:szCs w:val="24"/>
        </w:rPr>
        <w:t xml:space="preserve"> </w:t>
      </w:r>
      <w:r w:rsidR="000C466D" w:rsidRPr="0065362C">
        <w:rPr>
          <w:rFonts w:ascii="Times New Roman" w:hAnsi="Times New Roman"/>
          <w:color w:val="auto"/>
          <w:sz w:val="24"/>
          <w:szCs w:val="24"/>
        </w:rPr>
        <w:t>Сокол</w:t>
      </w:r>
      <w:bookmarkEnd w:id="18"/>
    </w:p>
    <w:sectPr w:rsidR="007B54C6" w:rsidRPr="0065362C" w:rsidSect="00795BD2">
      <w:pgSz w:w="16838" w:h="11906" w:orient="landscape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15047" w:rsidRDefault="00915047">
      <w:pPr>
        <w:spacing w:after="0" w:line="240" w:lineRule="auto"/>
      </w:pPr>
      <w:r>
        <w:separator/>
      </w:r>
    </w:p>
  </w:endnote>
  <w:endnote w:type="continuationSeparator" w:id="0">
    <w:p w:rsidR="00915047" w:rsidRDefault="009150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1361" w:rsidRDefault="00441361">
    <w:pPr>
      <w:pStyle w:val="a7"/>
      <w:jc w:val="right"/>
    </w:pPr>
  </w:p>
  <w:p w:rsidR="00441361" w:rsidRDefault="00441361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1361" w:rsidRDefault="00441361">
    <w:pPr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15047" w:rsidRDefault="00915047">
      <w:pPr>
        <w:spacing w:after="0" w:line="240" w:lineRule="auto"/>
      </w:pPr>
      <w:r>
        <w:separator/>
      </w:r>
    </w:p>
  </w:footnote>
  <w:footnote w:type="continuationSeparator" w:id="0">
    <w:p w:rsidR="00915047" w:rsidRDefault="009150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07148652"/>
      <w:docPartObj>
        <w:docPartGallery w:val="Page Numbers (Top of Page)"/>
        <w:docPartUnique/>
      </w:docPartObj>
    </w:sdtPr>
    <w:sdtEndPr/>
    <w:sdtContent>
      <w:p w:rsidR="00BB47A4" w:rsidRDefault="00BB47A4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927E4">
          <w:rPr>
            <w:noProof/>
          </w:rPr>
          <w:t>407</w:t>
        </w:r>
        <w:r>
          <w:fldChar w:fldCharType="end"/>
        </w:r>
      </w:p>
    </w:sdtContent>
  </w:sdt>
  <w:p w:rsidR="00BB47A4" w:rsidRDefault="00BB47A4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04763576"/>
      <w:docPartObj>
        <w:docPartGallery w:val="Page Numbers (Top of Page)"/>
        <w:docPartUnique/>
      </w:docPartObj>
    </w:sdtPr>
    <w:sdtEndPr/>
    <w:sdtContent>
      <w:p w:rsidR="00BB47A4" w:rsidRDefault="00BB47A4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927E4">
          <w:rPr>
            <w:noProof/>
          </w:rPr>
          <w:t>406</w:t>
        </w:r>
        <w:r>
          <w:fldChar w:fldCharType="end"/>
        </w:r>
      </w:p>
    </w:sdtContent>
  </w:sdt>
  <w:p w:rsidR="00BB47A4" w:rsidRDefault="00BB47A4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1361" w:rsidRDefault="00441361">
    <w:pPr>
      <w:pStyle w:val="a5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77705521"/>
      <w:docPartObj>
        <w:docPartGallery w:val="Page Numbers (Top of Page)"/>
        <w:docPartUnique/>
      </w:docPartObj>
    </w:sdtPr>
    <w:sdtEndPr/>
    <w:sdtContent>
      <w:p w:rsidR="009E0581" w:rsidRDefault="009E058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927E4">
          <w:rPr>
            <w:noProof/>
          </w:rPr>
          <w:t>418</w:t>
        </w:r>
        <w:r>
          <w:fldChar w:fldCharType="end"/>
        </w:r>
      </w:p>
    </w:sdtContent>
  </w:sdt>
  <w:p w:rsidR="00441361" w:rsidRDefault="00441361">
    <w:pPr>
      <w:rPr>
        <w:sz w:val="2"/>
        <w:szCs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1361" w:rsidRDefault="00441361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5E4DC1"/>
    <w:multiLevelType w:val="multilevel"/>
    <w:tmpl w:val="AF9EDE00"/>
    <w:lvl w:ilvl="0">
      <w:start w:val="1"/>
      <w:numFmt w:val="decimal"/>
      <w:suff w:val="space"/>
      <w:lvlText w:val="%1)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2"/>
        <w:u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7B816611"/>
    <w:multiLevelType w:val="multilevel"/>
    <w:tmpl w:val="EC0E9516"/>
    <w:lvl w:ilvl="0">
      <w:start w:val="1"/>
      <w:numFmt w:val="decimal"/>
      <w:suff w:val="space"/>
      <w:lvlText w:val="%1)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2"/>
        <w:u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7BEA04F0"/>
    <w:multiLevelType w:val="multilevel"/>
    <w:tmpl w:val="F4C0FA90"/>
    <w:lvl w:ilvl="0">
      <w:start w:val="1"/>
      <w:numFmt w:val="decimal"/>
      <w:suff w:val="space"/>
      <w:lvlText w:val="%1)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2"/>
        <w:u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3A79"/>
    <w:rsid w:val="000C466D"/>
    <w:rsid w:val="0012786E"/>
    <w:rsid w:val="001E4A12"/>
    <w:rsid w:val="001E59BC"/>
    <w:rsid w:val="002511C1"/>
    <w:rsid w:val="00263A79"/>
    <w:rsid w:val="002721A2"/>
    <w:rsid w:val="002A419E"/>
    <w:rsid w:val="00316FDB"/>
    <w:rsid w:val="00326EB9"/>
    <w:rsid w:val="00380F66"/>
    <w:rsid w:val="0038612F"/>
    <w:rsid w:val="003C1EEE"/>
    <w:rsid w:val="00441361"/>
    <w:rsid w:val="004B0F7D"/>
    <w:rsid w:val="004B64CD"/>
    <w:rsid w:val="00504C86"/>
    <w:rsid w:val="005502DB"/>
    <w:rsid w:val="005618CB"/>
    <w:rsid w:val="00563288"/>
    <w:rsid w:val="00565528"/>
    <w:rsid w:val="0059235B"/>
    <w:rsid w:val="005D1A85"/>
    <w:rsid w:val="005E74CF"/>
    <w:rsid w:val="0065362C"/>
    <w:rsid w:val="00693231"/>
    <w:rsid w:val="00706C63"/>
    <w:rsid w:val="00773294"/>
    <w:rsid w:val="00795BD2"/>
    <w:rsid w:val="007A6D68"/>
    <w:rsid w:val="007B54C6"/>
    <w:rsid w:val="007D3BEC"/>
    <w:rsid w:val="007D75A7"/>
    <w:rsid w:val="007E2F2C"/>
    <w:rsid w:val="008445A5"/>
    <w:rsid w:val="00855985"/>
    <w:rsid w:val="008B3CF9"/>
    <w:rsid w:val="008F1486"/>
    <w:rsid w:val="008F3A47"/>
    <w:rsid w:val="00915047"/>
    <w:rsid w:val="00947CF0"/>
    <w:rsid w:val="009B33B3"/>
    <w:rsid w:val="009E0581"/>
    <w:rsid w:val="00A04DA8"/>
    <w:rsid w:val="00A45B5E"/>
    <w:rsid w:val="00A50881"/>
    <w:rsid w:val="00A814AB"/>
    <w:rsid w:val="00B04114"/>
    <w:rsid w:val="00B3393F"/>
    <w:rsid w:val="00B3688F"/>
    <w:rsid w:val="00B6728C"/>
    <w:rsid w:val="00BB47A4"/>
    <w:rsid w:val="00BD0AD0"/>
    <w:rsid w:val="00C158CA"/>
    <w:rsid w:val="00C16648"/>
    <w:rsid w:val="00C81829"/>
    <w:rsid w:val="00C927E4"/>
    <w:rsid w:val="00CC29AB"/>
    <w:rsid w:val="00D10F8F"/>
    <w:rsid w:val="00D90B73"/>
    <w:rsid w:val="00DC5B18"/>
    <w:rsid w:val="00E20616"/>
    <w:rsid w:val="00F2115C"/>
    <w:rsid w:val="00F74D9D"/>
    <w:rsid w:val="00F85245"/>
    <w:rsid w:val="00F940C2"/>
    <w:rsid w:val="00FB597C"/>
    <w:rsid w:val="00FC036D"/>
    <w:rsid w:val="00FD2B51"/>
    <w:rsid w:val="00FD68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19F3AD3-50B8-4FB2-A65C-0F54D5349D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14AB"/>
  </w:style>
  <w:style w:type="paragraph" w:styleId="1">
    <w:name w:val="heading 1"/>
    <w:basedOn w:val="a"/>
    <w:next w:val="a"/>
    <w:link w:val="10"/>
    <w:uiPriority w:val="9"/>
    <w:qFormat/>
    <w:rsid w:val="00A814AB"/>
    <w:pPr>
      <w:keepNext/>
      <w:keepLines/>
      <w:spacing w:before="240" w:after="0"/>
      <w:outlineLvl w:val="0"/>
    </w:pPr>
    <w:rPr>
      <w:rFonts w:ascii="Calibri Light" w:eastAsia="Times New Roman" w:hAnsi="Calibri Light" w:cs="Times New Roman"/>
      <w:color w:val="2E74B5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Заголовок 11"/>
    <w:basedOn w:val="a"/>
    <w:next w:val="a"/>
    <w:uiPriority w:val="9"/>
    <w:qFormat/>
    <w:rsid w:val="00A814AB"/>
    <w:pPr>
      <w:keepNext/>
      <w:keepLines/>
      <w:widowControl w:val="0"/>
      <w:spacing w:before="240" w:after="0" w:line="240" w:lineRule="auto"/>
      <w:outlineLvl w:val="0"/>
    </w:pPr>
    <w:rPr>
      <w:rFonts w:ascii="Calibri Light" w:eastAsia="Times New Roman" w:hAnsi="Calibri Light" w:cs="Times New Roman"/>
      <w:color w:val="2E74B5"/>
      <w:sz w:val="32"/>
      <w:szCs w:val="32"/>
      <w:lang w:eastAsia="ru-RU" w:bidi="ru-RU"/>
    </w:rPr>
  </w:style>
  <w:style w:type="character" w:customStyle="1" w:styleId="10">
    <w:name w:val="Заголовок 1 Знак"/>
    <w:basedOn w:val="a0"/>
    <w:link w:val="1"/>
    <w:uiPriority w:val="9"/>
    <w:rsid w:val="00A814AB"/>
    <w:rPr>
      <w:rFonts w:ascii="Calibri Light" w:eastAsia="Times New Roman" w:hAnsi="Calibri Light" w:cs="Times New Roman"/>
      <w:color w:val="2E74B5"/>
      <w:sz w:val="32"/>
      <w:szCs w:val="32"/>
    </w:rPr>
  </w:style>
  <w:style w:type="paragraph" w:styleId="a3">
    <w:name w:val="No Spacing"/>
    <w:uiPriority w:val="1"/>
    <w:qFormat/>
    <w:rsid w:val="00A814AB"/>
    <w:pPr>
      <w:widowControl w:val="0"/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paragraph" w:styleId="a4">
    <w:name w:val="TOC Heading"/>
    <w:basedOn w:val="1"/>
    <w:next w:val="a"/>
    <w:uiPriority w:val="39"/>
    <w:unhideWhenUsed/>
    <w:qFormat/>
    <w:rsid w:val="00A814AB"/>
    <w:pPr>
      <w:outlineLvl w:val="9"/>
    </w:pPr>
    <w:rPr>
      <w:rFonts w:asciiTheme="majorHAnsi" w:eastAsiaTheme="majorEastAsia" w:hAnsiTheme="majorHAnsi" w:cstheme="majorBidi"/>
      <w:color w:val="2E74B5" w:themeColor="accent1" w:themeShade="BF"/>
      <w:lang w:eastAsia="ru-RU"/>
    </w:rPr>
  </w:style>
  <w:style w:type="paragraph" w:styleId="a5">
    <w:name w:val="header"/>
    <w:basedOn w:val="a"/>
    <w:link w:val="a6"/>
    <w:uiPriority w:val="99"/>
    <w:unhideWhenUsed/>
    <w:rsid w:val="00263A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63A79"/>
  </w:style>
  <w:style w:type="paragraph" w:styleId="a7">
    <w:name w:val="footer"/>
    <w:basedOn w:val="a"/>
    <w:link w:val="a8"/>
    <w:uiPriority w:val="99"/>
    <w:unhideWhenUsed/>
    <w:rsid w:val="00263A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63A79"/>
  </w:style>
  <w:style w:type="paragraph" w:styleId="12">
    <w:name w:val="toc 1"/>
    <w:basedOn w:val="a"/>
    <w:next w:val="a"/>
    <w:autoRedefine/>
    <w:uiPriority w:val="39"/>
    <w:unhideWhenUsed/>
    <w:rsid w:val="00D90B73"/>
    <w:pPr>
      <w:spacing w:after="100"/>
    </w:pPr>
  </w:style>
  <w:style w:type="character" w:styleId="a9">
    <w:name w:val="Hyperlink"/>
    <w:basedOn w:val="a0"/>
    <w:uiPriority w:val="99"/>
    <w:unhideWhenUsed/>
    <w:rsid w:val="00D90B73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7D3B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D3BE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99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3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1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52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93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6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8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2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header" Target="header3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5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10" Type="http://schemas.openxmlformats.org/officeDocument/2006/relationships/header" Target="header2.xml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 Version="15"/>
</file>

<file path=customXml/itemProps1.xml><?xml version="1.0" encoding="utf-8"?>
<ds:datastoreItem xmlns:ds="http://schemas.openxmlformats.org/officeDocument/2006/customXml" ds:itemID="{FE811EF7-C819-4220-B14D-6EFD00EE68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14</Pages>
  <Words>2612</Words>
  <Characters>14893</Characters>
  <Application>Microsoft Office Word</Application>
  <DocSecurity>0</DocSecurity>
  <Lines>124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Ura</dc:creator>
  <cp:keywords/>
  <dc:description/>
  <cp:lastModifiedBy>Admin</cp:lastModifiedBy>
  <cp:revision>4</cp:revision>
  <cp:lastPrinted>2025-05-29T09:27:00Z</cp:lastPrinted>
  <dcterms:created xsi:type="dcterms:W3CDTF">2025-05-23T11:27:00Z</dcterms:created>
  <dcterms:modified xsi:type="dcterms:W3CDTF">2025-05-29T09:28:00Z</dcterms:modified>
</cp:coreProperties>
</file>