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CB6" w:rsidRPr="00C162E3" w:rsidRDefault="00350CB6" w:rsidP="00350CB6">
      <w:pPr>
        <w:ind w:firstLine="720"/>
        <w:jc w:val="both"/>
        <w:rPr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112"/>
        <w:gridCol w:w="3349"/>
      </w:tblGrid>
      <w:tr w:rsidR="00350CB6" w:rsidRPr="00C162E3" w:rsidTr="00293D4A">
        <w:tc>
          <w:tcPr>
            <w:tcW w:w="6200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Приложение 2 к Программе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0CB6" w:rsidRPr="00C162E3" w:rsidRDefault="00350CB6" w:rsidP="00350CB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50CB6" w:rsidRPr="00C162E3" w:rsidRDefault="00350CB6" w:rsidP="00350CB6">
      <w:pPr>
        <w:tabs>
          <w:tab w:val="left" w:pos="2919"/>
        </w:tabs>
        <w:jc w:val="center"/>
      </w:pPr>
      <w:r w:rsidRPr="00C162E3">
        <w:t>Подпрограмма 2</w:t>
      </w:r>
    </w:p>
    <w:p w:rsidR="00350CB6" w:rsidRPr="00C162E3" w:rsidRDefault="00350CB6" w:rsidP="00350CB6">
      <w:pPr>
        <w:jc w:val="center"/>
      </w:pPr>
      <w:r w:rsidRPr="00C162E3">
        <w:t>«Привлечение кадров»</w:t>
      </w:r>
    </w:p>
    <w:p w:rsidR="00350CB6" w:rsidRPr="00C162E3" w:rsidRDefault="00350CB6" w:rsidP="00350CB6">
      <w:pPr>
        <w:jc w:val="center"/>
      </w:pPr>
    </w:p>
    <w:p w:rsidR="00350CB6" w:rsidRPr="00C162E3" w:rsidRDefault="00350CB6" w:rsidP="00350CB6">
      <w:pPr>
        <w:tabs>
          <w:tab w:val="left" w:pos="2919"/>
        </w:tabs>
        <w:jc w:val="center"/>
      </w:pPr>
      <w:r w:rsidRPr="00C162E3">
        <w:t xml:space="preserve">Паспорт подпрограммы 2 </w:t>
      </w:r>
    </w:p>
    <w:p w:rsidR="00350CB6" w:rsidRPr="00C162E3" w:rsidRDefault="00350CB6" w:rsidP="00350CB6">
      <w:pPr>
        <w:tabs>
          <w:tab w:val="left" w:pos="2919"/>
        </w:tabs>
        <w:jc w:val="center"/>
      </w:pP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870"/>
      </w:tblGrid>
      <w:tr w:rsidR="00350CB6" w:rsidRPr="00C162E3" w:rsidTr="00293D4A">
        <w:trPr>
          <w:trHeight w:val="988"/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2 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«Привлечение кадров» (далее – подпрограмма 2)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 (далее –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 2</w:t>
            </w:r>
          </w:p>
        </w:tc>
        <w:tc>
          <w:tcPr>
            <w:tcW w:w="6870" w:type="dxa"/>
          </w:tcPr>
          <w:p w:rsidR="00350CB6" w:rsidRDefault="00350CB6" w:rsidP="00293D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Сокольского муниципального округа;</w:t>
            </w:r>
          </w:p>
          <w:p w:rsidR="00350CB6" w:rsidRDefault="00350CB6" w:rsidP="00293D4A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Управление образования Сокольского муниципального</w:t>
            </w:r>
            <w:r>
              <w:t xml:space="preserve"> округа;</w:t>
            </w:r>
          </w:p>
          <w:p w:rsidR="00350CB6" w:rsidRDefault="00350CB6" w:rsidP="00293D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культуры, спорта, молодежной политики и туризма;</w:t>
            </w:r>
          </w:p>
          <w:p w:rsidR="00350CB6" w:rsidRDefault="00350CB6" w:rsidP="00293D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СМО «Управление строительства и ЖКХ»</w:t>
            </w:r>
            <w:r w:rsidRPr="00C162E3">
              <w:t xml:space="preserve"> (по согласованию)</w:t>
            </w:r>
            <w:r>
              <w:t>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>Сокольский</w:t>
            </w:r>
            <w:proofErr w:type="spellEnd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Управления Федеральной службы по надзору в сфере защиты прав потребителей и благополучия человека по Вологодской области (далее – </w:t>
            </w:r>
            <w:proofErr w:type="spellStart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>Сокольский</w:t>
            </w:r>
            <w:proofErr w:type="spellEnd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Управления </w:t>
            </w:r>
            <w:proofErr w:type="spellStart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 xml:space="preserve"> по Вологодской области)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2 </w:t>
            </w:r>
          </w:p>
        </w:tc>
        <w:tc>
          <w:tcPr>
            <w:tcW w:w="6870" w:type="dxa"/>
          </w:tcPr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привлечения медицинских работников для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аботы в БУЗ 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привлечения педагогических работников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работы в общеобразовательные организации Сокольского муниципального округа;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привлечения 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регулирования здравоохранения и санитарно-эпидемиологического благополучия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работы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>территориальн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отдел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7D12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по Вологодской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специалисты в области регулирования здравоохранения и санитарно-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эпидемиологического благополучия территориаль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отдела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привлечения отдельных категорий  работников в муниципальные учреждения физкультурно-спортивной направленности Сокольского муниципального округа.</w:t>
            </w: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врачей и средний медицинский персонал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педагогических работников </w:t>
            </w:r>
            <w:proofErr w:type="spellStart"/>
            <w:proofErr w:type="gram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социальную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гражданам,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высшего образования по очной форме обучения по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целево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обучении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специальностям педагогической направленности в виде муниципальной стипендии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6F">
              <w:rPr>
                <w:szCs w:val="28"/>
              </w:rPr>
              <w:t xml:space="preserve">-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отдельные категории работников </w:t>
            </w:r>
            <w:r w:rsidRPr="008C79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учреждений  физкультурно-спортивной направленности жилыми помещениями для проживания посредством частичной компенсации расходов по найму жилых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временного проживания и получающих частичную компенсацию расходов по договорам найма жилых помещений;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количество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округа;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количество педагогических работников общеобразовательных организаций Сокольского муниципального округа, обеспеченных жилыми помещениями для проживания посредством частичной компенсации расходов по найму жилых помещений;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обучающихся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высшего образования по очной форме обучения по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целево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обучении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специальностям педагогической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получающих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социальную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 в виде муниципальной стипендии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, обеспеченных жилыми помещениями для проживания посредством частичной компенсации расходов по найму жилых помещений;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B81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1D4B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категорий работников 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>в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физкультурно-спортивной направленности , обеспеченных жилыми помещениями для проживания посредством частичной компенсации расходов по договору найма жилого помещения</w:t>
            </w:r>
            <w:r w:rsidRPr="008C796F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2027 годы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 2</w:t>
            </w:r>
          </w:p>
        </w:tc>
        <w:tc>
          <w:tcPr>
            <w:tcW w:w="6870" w:type="dxa"/>
            <w:vAlign w:val="center"/>
          </w:tcPr>
          <w:p w:rsidR="00350CB6" w:rsidRPr="00CC5DA4" w:rsidRDefault="00350CB6" w:rsidP="00293D4A">
            <w:pPr>
              <w:pStyle w:val="ConsPlusCell"/>
              <w:jc w:val="both"/>
            </w:pPr>
            <w:r w:rsidRPr="00CC5DA4">
              <w:t>Всего 3</w:t>
            </w:r>
            <w:r w:rsidR="00751BD4" w:rsidRPr="00CC5DA4">
              <w:t>0</w:t>
            </w:r>
            <w:r w:rsidRPr="00CC5DA4">
              <w:t xml:space="preserve"> </w:t>
            </w:r>
            <w:r w:rsidR="00751BD4" w:rsidRPr="00CC5DA4">
              <w:t>3</w:t>
            </w:r>
            <w:r w:rsidRPr="00CC5DA4">
              <w:t>68,0 тыс. рублей, в том числе по годам реализации:</w:t>
            </w:r>
          </w:p>
          <w:p w:rsidR="00350CB6" w:rsidRPr="00CC5DA4" w:rsidRDefault="00350CB6" w:rsidP="00293D4A">
            <w:pPr>
              <w:pStyle w:val="ConsPlusCell"/>
            </w:pPr>
            <w:r w:rsidRPr="00CC5DA4">
              <w:t xml:space="preserve"> в 2023 году –  </w:t>
            </w:r>
            <w:r w:rsidR="00751BD4" w:rsidRPr="00CC5DA4">
              <w:t>8 6</w:t>
            </w:r>
            <w:r w:rsidRPr="00CC5DA4">
              <w:t>08,0 тыс. рублей.</w:t>
            </w:r>
          </w:p>
          <w:p w:rsidR="00350CB6" w:rsidRPr="00CC5DA4" w:rsidRDefault="00350CB6" w:rsidP="00293D4A">
            <w:pPr>
              <w:pStyle w:val="ConsPlusCell"/>
            </w:pPr>
            <w:r w:rsidRPr="00CC5DA4">
              <w:t xml:space="preserve"> В 2024 году –  9 440,0 тыс. рублей;</w:t>
            </w:r>
          </w:p>
          <w:p w:rsidR="00350CB6" w:rsidRPr="00CC5DA4" w:rsidRDefault="00350CB6" w:rsidP="00293D4A">
            <w:pPr>
              <w:pStyle w:val="ConsPlusCell"/>
            </w:pPr>
            <w:r w:rsidRPr="00CC5DA4">
              <w:t xml:space="preserve"> в 2025 году –  9 440,0 тыс. рублей;</w:t>
            </w:r>
          </w:p>
          <w:p w:rsidR="00350CB6" w:rsidRPr="00CC5DA4" w:rsidRDefault="00350CB6" w:rsidP="00293D4A">
            <w:pPr>
              <w:pStyle w:val="ConsPlusCell"/>
            </w:pPr>
            <w:r w:rsidRPr="00CC5DA4">
              <w:lastRenderedPageBreak/>
              <w:t xml:space="preserve"> в 2026 году –  1 440,0 тыс. рублей;</w:t>
            </w:r>
          </w:p>
          <w:p w:rsidR="00350CB6" w:rsidRPr="00CC5DA4" w:rsidRDefault="00350CB6" w:rsidP="00293D4A">
            <w:pPr>
              <w:pStyle w:val="ConsPlusCell"/>
            </w:pPr>
            <w:r w:rsidRPr="00CC5DA4">
              <w:t xml:space="preserve"> в 2027 году –  1 440,0 тыс. рублей.</w:t>
            </w:r>
          </w:p>
          <w:p w:rsidR="00350CB6" w:rsidRPr="00CC5DA4" w:rsidRDefault="00350CB6" w:rsidP="00293D4A">
            <w:pPr>
              <w:pStyle w:val="ConsPlusCell"/>
              <w:ind w:firstLine="441"/>
            </w:pPr>
            <w:r w:rsidRPr="00CC5DA4">
              <w:t>Из них:</w:t>
            </w:r>
          </w:p>
          <w:p w:rsidR="00350CB6" w:rsidRPr="00CC5DA4" w:rsidRDefault="00350CB6" w:rsidP="00293D4A">
            <w:pPr>
              <w:pStyle w:val="ConsPlusCell"/>
              <w:jc w:val="both"/>
            </w:pPr>
            <w:r w:rsidRPr="00CC5DA4">
              <w:t xml:space="preserve">- за счет средств бюджета округа </w:t>
            </w:r>
            <w:r w:rsidRPr="00CC5DA4">
              <w:rPr>
                <w:shd w:val="clear" w:color="auto" w:fill="FFFF00"/>
              </w:rPr>
              <w:t>3</w:t>
            </w:r>
            <w:r w:rsidR="00512030" w:rsidRPr="00CC5DA4">
              <w:rPr>
                <w:shd w:val="clear" w:color="auto" w:fill="FFFF00"/>
              </w:rPr>
              <w:t>0</w:t>
            </w:r>
            <w:r w:rsidRPr="00CC5DA4">
              <w:rPr>
                <w:shd w:val="clear" w:color="auto" w:fill="FFFF00"/>
              </w:rPr>
              <w:t xml:space="preserve"> </w:t>
            </w:r>
            <w:r w:rsidR="00512030" w:rsidRPr="00CC5DA4">
              <w:rPr>
                <w:shd w:val="clear" w:color="auto" w:fill="FFFF00"/>
              </w:rPr>
              <w:t>3</w:t>
            </w:r>
            <w:r w:rsidRPr="00CC5DA4">
              <w:rPr>
                <w:shd w:val="clear" w:color="auto" w:fill="FFFF00"/>
              </w:rPr>
              <w:t>68</w:t>
            </w:r>
            <w:r w:rsidRPr="00CC5DA4">
              <w:t>,0</w:t>
            </w:r>
            <w:bookmarkStart w:id="0" w:name="_GoBack"/>
            <w:bookmarkEnd w:id="0"/>
            <w:r w:rsidRPr="00CC5DA4">
              <w:t xml:space="preserve"> тыс. рублей, в том числе по годам реализации:</w:t>
            </w:r>
          </w:p>
          <w:p w:rsidR="00350CB6" w:rsidRPr="00CC5DA4" w:rsidRDefault="00350CB6" w:rsidP="00293D4A">
            <w:pPr>
              <w:pStyle w:val="ConsPlusCell"/>
            </w:pPr>
            <w:r w:rsidRPr="00CC5DA4">
              <w:t xml:space="preserve">в 2023 году –  </w:t>
            </w:r>
            <w:r w:rsidR="00512030" w:rsidRPr="00CC5DA4">
              <w:rPr>
                <w:shd w:val="clear" w:color="auto" w:fill="FFFF00"/>
              </w:rPr>
              <w:t>8</w:t>
            </w:r>
            <w:r w:rsidRPr="00CC5DA4">
              <w:rPr>
                <w:shd w:val="clear" w:color="auto" w:fill="FFFF00"/>
              </w:rPr>
              <w:t xml:space="preserve"> </w:t>
            </w:r>
            <w:r w:rsidR="00512030" w:rsidRPr="00CC5DA4">
              <w:rPr>
                <w:shd w:val="clear" w:color="auto" w:fill="FFFF00"/>
              </w:rPr>
              <w:t>6</w:t>
            </w:r>
            <w:r w:rsidRPr="00CC5DA4">
              <w:rPr>
                <w:shd w:val="clear" w:color="auto" w:fill="FFFF00"/>
              </w:rPr>
              <w:t>08,0</w:t>
            </w:r>
            <w:r w:rsidRPr="00CC5DA4">
              <w:t xml:space="preserve"> тыс. рублей.</w:t>
            </w:r>
          </w:p>
          <w:p w:rsidR="00350CB6" w:rsidRPr="00C162E3" w:rsidRDefault="00350CB6" w:rsidP="00293D4A">
            <w:pPr>
              <w:pStyle w:val="ConsPlusCell"/>
            </w:pPr>
            <w:r w:rsidRPr="00CC5DA4">
              <w:t xml:space="preserve"> В 2024 году –  9 440,0 тыс. рублей;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2025 году –</w:t>
            </w:r>
            <w:r>
              <w:t xml:space="preserve">  9 440,0 </w:t>
            </w:r>
            <w:r w:rsidRPr="00C162E3">
              <w:t>тыс. рублей;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2026 году –</w:t>
            </w:r>
            <w:r>
              <w:t xml:space="preserve">  1 440,0 </w:t>
            </w:r>
            <w:r w:rsidRPr="00C162E3">
              <w:t>тыс. рублей;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2027 году – </w:t>
            </w:r>
            <w:r>
              <w:t xml:space="preserve"> </w:t>
            </w:r>
            <w:r w:rsidRPr="00C162E3">
              <w:t>1</w:t>
            </w:r>
            <w:r>
              <w:t xml:space="preserve"> 440</w:t>
            </w:r>
            <w:r w:rsidRPr="00C162E3">
              <w:t>,0 тыс. рублей.</w:t>
            </w:r>
          </w:p>
          <w:p w:rsidR="00350CB6" w:rsidRPr="00C162E3" w:rsidRDefault="00350CB6" w:rsidP="00293D4A">
            <w:pPr>
              <w:pStyle w:val="ConsPlusCell"/>
            </w:pPr>
          </w:p>
        </w:tc>
      </w:tr>
      <w:tr w:rsidR="00350CB6" w:rsidRPr="00C162E3" w:rsidTr="00293D4A">
        <w:trPr>
          <w:trHeight w:val="1264"/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мероприятий Подпрограммы 2 к концу 2027 года ожидается: 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сохранение численности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получающих частичную компенсацию расходов по договорам найма жилых помещений для проживания, на уровне 12 человек в год;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количества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 Сокольского муниципального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уровне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не менее 4 человек в год;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жилых помещений жилищного фонда коммерческого использования Сокольского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8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к 2024 году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численности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 общеобразовательных организаций Сокольского муниципального округа, получающих частичную компенсацию расходов по договорам найма жилых помещений для проживания, на уровне 2 человек в год;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обеспечение выплаты муниципальной стипендии 23 обучающимся по договорам на целевое обучение по специальностям педагогической направленности ежегодно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численности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68417F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68417F">
              <w:rPr>
                <w:rFonts w:ascii="Times New Roman" w:hAnsi="Times New Roman" w:cs="Times New Roman"/>
                <w:sz w:val="28"/>
                <w:szCs w:val="28"/>
              </w:rPr>
              <w:t>, получающих частичную</w:t>
            </w:r>
            <w:r w:rsidRPr="0068417F">
              <w:t xml:space="preserve"> 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>компенсацию расходов по договору найма жилого помещения в размере фактически понесенных расходов</w:t>
            </w:r>
            <w:r w:rsidRPr="0068417F">
              <w:t>,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 1 человека;</w:t>
            </w:r>
          </w:p>
          <w:p w:rsidR="00350CB6" w:rsidRPr="003825B4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численности отдельных категорий работников </w:t>
            </w:r>
            <w:r w:rsidRPr="008C79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учреждений  физкультурно-спортивной направленности, получающих частичную компенсацию расходов по договору найма жилого помещения в размере фактически понесенных расходов, на уровне 3 человека в год</w:t>
            </w:r>
            <w:r w:rsidRPr="003825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96ED3" w:rsidRDefault="00796ED3"/>
    <w:sectPr w:rsidR="00796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85"/>
    <w:rsid w:val="00350CB6"/>
    <w:rsid w:val="00512030"/>
    <w:rsid w:val="00751BD4"/>
    <w:rsid w:val="00796ED3"/>
    <w:rsid w:val="007D5465"/>
    <w:rsid w:val="00832365"/>
    <w:rsid w:val="00892985"/>
    <w:rsid w:val="00B63839"/>
    <w:rsid w:val="00CC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14219-1781-47A9-9F28-A9892F8C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50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0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0C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350CB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2023-10-26T09:27:00Z</cp:lastPrinted>
  <dcterms:created xsi:type="dcterms:W3CDTF">2023-11-20T11:58:00Z</dcterms:created>
  <dcterms:modified xsi:type="dcterms:W3CDTF">2023-11-20T11:58:00Z</dcterms:modified>
</cp:coreProperties>
</file>