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E4F8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01432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 w:rsidP="00C1115C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C1115C" w:rsidP="00344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4ABD">
              <w:rPr>
                <w:b/>
                <w:bCs/>
              </w:rPr>
              <w:t>1</w:t>
            </w:r>
            <w:r>
              <w:rPr>
                <w:b/>
                <w:bCs/>
              </w:rPr>
              <w:t>.11.2024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C1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="00344ABD">
              <w:rPr>
                <w:b/>
                <w:bCs/>
              </w:rPr>
              <w:t>8</w:t>
            </w:r>
          </w:p>
        </w:tc>
      </w:tr>
      <w:tr w:rsidR="003E4F82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17683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3E4F82">
              <w:rPr>
                <w:sz w:val="16"/>
              </w:rPr>
              <w:t>г. Сокол</w:t>
            </w:r>
          </w:p>
        </w:tc>
      </w:tr>
      <w:tr w:rsidR="003E4F82" w:rsidTr="00344ABD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 w:rsidTr="00344ABD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44ABD" w:rsidP="00344ABD">
            <w:pPr>
              <w:jc w:val="both"/>
            </w:pPr>
            <w:r w:rsidRPr="00344ABD">
              <w:t xml:space="preserve">О наделении организации, осуществляющей холодное водоснабжение и водоотведение статусом гарантирующей организации </w:t>
            </w:r>
          </w:p>
        </w:tc>
        <w:tc>
          <w:tcPr>
            <w:tcW w:w="24" w:type="dxa"/>
          </w:tcPr>
          <w:p w:rsidR="003E4F82" w:rsidRDefault="003E4F82">
            <w:pPr>
              <w:jc w:val="center"/>
            </w:pPr>
          </w:p>
        </w:tc>
      </w:tr>
    </w:tbl>
    <w:p w:rsidR="007E609F" w:rsidRDefault="007E609F" w:rsidP="00C474AB">
      <w:pPr>
        <w:ind w:firstLine="935"/>
        <w:jc w:val="both"/>
      </w:pP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>В соответствии с Федеральным законом от 06.10.2003 №</w:t>
      </w:r>
      <w:r>
        <w:rPr>
          <w:sz w:val="28"/>
          <w:szCs w:val="24"/>
        </w:rPr>
        <w:t xml:space="preserve"> </w:t>
      </w:r>
      <w:r w:rsidRPr="00344ABD">
        <w:rPr>
          <w:sz w:val="28"/>
          <w:szCs w:val="24"/>
        </w:rPr>
        <w:t>131-ФЗ «Об общих принципах организации местного самоуправления в Российской Федерации», статьями 6, 12 Федерального закона от 07.12.2011 № 416-ФЗ «О водоснабжении и водоотведении», стать</w:t>
      </w:r>
      <w:r>
        <w:rPr>
          <w:sz w:val="28"/>
          <w:szCs w:val="24"/>
        </w:rPr>
        <w:t>ей</w:t>
      </w:r>
      <w:r w:rsidRPr="00344ABD">
        <w:rPr>
          <w:sz w:val="28"/>
          <w:szCs w:val="24"/>
        </w:rPr>
        <w:t xml:space="preserve"> 38 Устава Сокольского муниципального округа </w:t>
      </w:r>
      <w:r w:rsidRPr="00344ABD">
        <w:rPr>
          <w:b/>
          <w:sz w:val="28"/>
          <w:szCs w:val="24"/>
        </w:rPr>
        <w:t>АДМИНИСТРАЦИЯ ПОСТАНОВЛЯЕТ: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1. Наделить МУП «Коммунальные системы» (ИНН 3527016080)   статусом гарантирующей организации, осуществляющей водоотведение с использованием централизованных систем в административных границах села Биряково </w:t>
      </w:r>
      <w:proofErr w:type="spellStart"/>
      <w:r w:rsidRPr="00344ABD">
        <w:rPr>
          <w:sz w:val="28"/>
          <w:szCs w:val="24"/>
        </w:rPr>
        <w:t>Биряковского</w:t>
      </w:r>
      <w:proofErr w:type="spellEnd"/>
      <w:r w:rsidRPr="00344ABD">
        <w:rPr>
          <w:sz w:val="28"/>
          <w:szCs w:val="24"/>
        </w:rPr>
        <w:t xml:space="preserve"> сельсовета, деревни Воробьево </w:t>
      </w:r>
      <w:proofErr w:type="spellStart"/>
      <w:r w:rsidRPr="00344ABD">
        <w:rPr>
          <w:sz w:val="28"/>
          <w:szCs w:val="24"/>
        </w:rPr>
        <w:t>Воробьевского</w:t>
      </w:r>
      <w:proofErr w:type="spellEnd"/>
      <w:r w:rsidRPr="00344ABD">
        <w:rPr>
          <w:sz w:val="28"/>
          <w:szCs w:val="24"/>
        </w:rPr>
        <w:t xml:space="preserve">  сельсовета, деревни Чекшино </w:t>
      </w:r>
      <w:proofErr w:type="spellStart"/>
      <w:r w:rsidRPr="00344ABD">
        <w:rPr>
          <w:sz w:val="28"/>
          <w:szCs w:val="24"/>
        </w:rPr>
        <w:t>Двиницкого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Марковское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Пельшемского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Обросово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Боровецкого</w:t>
      </w:r>
      <w:proofErr w:type="spellEnd"/>
      <w:r w:rsidRPr="00344ABD">
        <w:rPr>
          <w:sz w:val="28"/>
          <w:szCs w:val="24"/>
        </w:rPr>
        <w:t xml:space="preserve"> сельсовета, деревни Чучково, деревни </w:t>
      </w:r>
      <w:proofErr w:type="spellStart"/>
      <w:r w:rsidRPr="00344ABD">
        <w:rPr>
          <w:sz w:val="28"/>
          <w:szCs w:val="24"/>
        </w:rPr>
        <w:t>Огарово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Горбово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Чучковского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Литега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В</w:t>
      </w:r>
      <w:r w:rsidR="009B3C03">
        <w:rPr>
          <w:sz w:val="28"/>
          <w:szCs w:val="24"/>
        </w:rPr>
        <w:t>асютино</w:t>
      </w:r>
      <w:proofErr w:type="spellEnd"/>
      <w:r w:rsidR="009B3C03">
        <w:rPr>
          <w:sz w:val="28"/>
          <w:szCs w:val="24"/>
        </w:rPr>
        <w:t xml:space="preserve"> Пригородного сельсовета.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2. Наделить МУП «Коммунальные системы» (ИНН 3527016080)   статусом гарантирующей организации, осуществляющей холодное водоснабжение с использованием централизованных систем в административных границах села Архангельское, деревни </w:t>
      </w:r>
      <w:proofErr w:type="spellStart"/>
      <w:r w:rsidRPr="00344ABD">
        <w:rPr>
          <w:sz w:val="28"/>
          <w:szCs w:val="24"/>
        </w:rPr>
        <w:t>Василево</w:t>
      </w:r>
      <w:proofErr w:type="spellEnd"/>
      <w:r w:rsidRPr="00344ABD">
        <w:rPr>
          <w:sz w:val="28"/>
          <w:szCs w:val="24"/>
        </w:rPr>
        <w:t xml:space="preserve"> Архангельского сельсовета, села Великий Двор </w:t>
      </w:r>
      <w:proofErr w:type="spellStart"/>
      <w:r w:rsidRPr="00344ABD">
        <w:rPr>
          <w:sz w:val="28"/>
          <w:szCs w:val="24"/>
        </w:rPr>
        <w:t>Кокошиловского</w:t>
      </w:r>
      <w:proofErr w:type="spellEnd"/>
      <w:r w:rsidRPr="00344ABD">
        <w:rPr>
          <w:sz w:val="28"/>
          <w:szCs w:val="24"/>
        </w:rPr>
        <w:t xml:space="preserve"> сельсовета, деревни Нестерово </w:t>
      </w:r>
      <w:proofErr w:type="spellStart"/>
      <w:r w:rsidRPr="00344ABD">
        <w:rPr>
          <w:sz w:val="28"/>
          <w:szCs w:val="24"/>
        </w:rPr>
        <w:t>Нестеровского</w:t>
      </w:r>
      <w:proofErr w:type="spellEnd"/>
      <w:r w:rsidRPr="00344ABD">
        <w:rPr>
          <w:sz w:val="28"/>
          <w:szCs w:val="24"/>
        </w:rPr>
        <w:t xml:space="preserve"> сельсовета, села Биряково </w:t>
      </w:r>
      <w:proofErr w:type="spellStart"/>
      <w:r w:rsidRPr="00344ABD">
        <w:rPr>
          <w:sz w:val="28"/>
          <w:szCs w:val="24"/>
        </w:rPr>
        <w:t>Биряковского</w:t>
      </w:r>
      <w:proofErr w:type="spellEnd"/>
      <w:r w:rsidRPr="00344ABD">
        <w:rPr>
          <w:sz w:val="28"/>
          <w:szCs w:val="24"/>
        </w:rPr>
        <w:t xml:space="preserve"> сельсовета, деревни Воробьево, деревни Алексино </w:t>
      </w:r>
      <w:proofErr w:type="spellStart"/>
      <w:r w:rsidRPr="00344ABD">
        <w:rPr>
          <w:sz w:val="28"/>
          <w:szCs w:val="24"/>
        </w:rPr>
        <w:t>Воробьевского</w:t>
      </w:r>
      <w:proofErr w:type="spellEnd"/>
      <w:r w:rsidRPr="00344ABD">
        <w:rPr>
          <w:sz w:val="28"/>
          <w:szCs w:val="24"/>
        </w:rPr>
        <w:t xml:space="preserve">  сельсовета, деревни Чекшино </w:t>
      </w:r>
      <w:proofErr w:type="spellStart"/>
      <w:r w:rsidRPr="00344ABD">
        <w:rPr>
          <w:sz w:val="28"/>
          <w:szCs w:val="24"/>
        </w:rPr>
        <w:t>Двиницкого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Марковское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Тырыково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Пельшемского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Обросово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Боровецкого</w:t>
      </w:r>
      <w:proofErr w:type="spellEnd"/>
      <w:r w:rsidRPr="00344ABD">
        <w:rPr>
          <w:sz w:val="28"/>
          <w:szCs w:val="24"/>
        </w:rPr>
        <w:t xml:space="preserve"> сельсовета, деревни Чучково, деревни </w:t>
      </w:r>
      <w:proofErr w:type="spellStart"/>
      <w:r w:rsidRPr="00344ABD">
        <w:rPr>
          <w:sz w:val="28"/>
          <w:szCs w:val="24"/>
        </w:rPr>
        <w:t>Огарово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Горбово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Чучковского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</w:t>
      </w:r>
      <w:r w:rsidR="009B3C03">
        <w:rPr>
          <w:sz w:val="28"/>
          <w:szCs w:val="24"/>
        </w:rPr>
        <w:t>ларево</w:t>
      </w:r>
      <w:proofErr w:type="spellEnd"/>
      <w:r w:rsidR="009B3C03">
        <w:rPr>
          <w:sz w:val="28"/>
          <w:szCs w:val="24"/>
        </w:rPr>
        <w:t xml:space="preserve"> Пригородного сельсовета.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>3. Установить зону деятельности МУП «Коммунальные системы» (ИНН 3527016080):</w:t>
      </w:r>
    </w:p>
    <w:p w:rsidR="009B3C03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3.1. В сфере водоотведения - в административных границах села Биряково </w:t>
      </w:r>
      <w:proofErr w:type="spellStart"/>
      <w:r w:rsidRPr="00344ABD">
        <w:rPr>
          <w:sz w:val="28"/>
          <w:szCs w:val="24"/>
        </w:rPr>
        <w:t>Биряковского</w:t>
      </w:r>
      <w:proofErr w:type="spellEnd"/>
      <w:r w:rsidRPr="00344ABD">
        <w:rPr>
          <w:sz w:val="28"/>
          <w:szCs w:val="24"/>
        </w:rPr>
        <w:t xml:space="preserve"> сельсовета, деревни Воробьево </w:t>
      </w:r>
      <w:proofErr w:type="spellStart"/>
      <w:proofErr w:type="gramStart"/>
      <w:r w:rsidRPr="00344ABD">
        <w:rPr>
          <w:sz w:val="28"/>
          <w:szCs w:val="24"/>
        </w:rPr>
        <w:t>Воробьевского</w:t>
      </w:r>
      <w:proofErr w:type="spellEnd"/>
      <w:r w:rsidRPr="00344ABD">
        <w:rPr>
          <w:sz w:val="28"/>
          <w:szCs w:val="24"/>
        </w:rPr>
        <w:t xml:space="preserve">  сельсовета</w:t>
      </w:r>
      <w:proofErr w:type="gramEnd"/>
      <w:r w:rsidRPr="00344ABD">
        <w:rPr>
          <w:sz w:val="28"/>
          <w:szCs w:val="24"/>
        </w:rPr>
        <w:t xml:space="preserve">, деревни Чекшино </w:t>
      </w:r>
      <w:proofErr w:type="spellStart"/>
      <w:r w:rsidRPr="00344ABD">
        <w:rPr>
          <w:sz w:val="28"/>
          <w:szCs w:val="24"/>
        </w:rPr>
        <w:t>Двиницкого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Марковское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Пельшемского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Литега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Васютино</w:t>
      </w:r>
      <w:proofErr w:type="spellEnd"/>
      <w:r w:rsidRPr="00344ABD">
        <w:rPr>
          <w:sz w:val="28"/>
          <w:szCs w:val="24"/>
        </w:rPr>
        <w:t xml:space="preserve">  Пригородного сельсовета, деревне </w:t>
      </w:r>
      <w:proofErr w:type="spellStart"/>
      <w:r w:rsidRPr="00344ABD">
        <w:rPr>
          <w:sz w:val="28"/>
          <w:szCs w:val="24"/>
        </w:rPr>
        <w:t>Обросово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Боровецкого</w:t>
      </w:r>
      <w:proofErr w:type="spellEnd"/>
      <w:r w:rsidRPr="00344ABD">
        <w:rPr>
          <w:sz w:val="28"/>
          <w:szCs w:val="24"/>
        </w:rPr>
        <w:t xml:space="preserve"> сельсовета, деревни Чучково, деревни </w:t>
      </w:r>
      <w:proofErr w:type="spellStart"/>
      <w:r w:rsidRPr="00344ABD">
        <w:rPr>
          <w:sz w:val="28"/>
          <w:szCs w:val="24"/>
        </w:rPr>
        <w:t>Огарово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Горбово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Чучковского</w:t>
      </w:r>
      <w:proofErr w:type="spellEnd"/>
      <w:r w:rsidRPr="00344ABD">
        <w:rPr>
          <w:sz w:val="28"/>
          <w:szCs w:val="24"/>
        </w:rPr>
        <w:t xml:space="preserve"> сельсовета</w:t>
      </w:r>
      <w:r w:rsidR="009B3C03">
        <w:rPr>
          <w:sz w:val="28"/>
          <w:szCs w:val="24"/>
        </w:rPr>
        <w:t>.</w:t>
      </w:r>
      <w:r w:rsidRPr="00344ABD">
        <w:rPr>
          <w:sz w:val="28"/>
          <w:szCs w:val="24"/>
        </w:rPr>
        <w:t xml:space="preserve"> 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3.2. В сфере холодного водоснабжения - в административных границах </w:t>
      </w:r>
      <w:r w:rsidRPr="00344ABD">
        <w:rPr>
          <w:sz w:val="28"/>
          <w:szCs w:val="24"/>
        </w:rPr>
        <w:lastRenderedPageBreak/>
        <w:t xml:space="preserve">села Архангельское, деревни </w:t>
      </w:r>
      <w:proofErr w:type="spellStart"/>
      <w:r w:rsidRPr="00344ABD">
        <w:rPr>
          <w:sz w:val="28"/>
          <w:szCs w:val="24"/>
        </w:rPr>
        <w:t>Василево</w:t>
      </w:r>
      <w:proofErr w:type="spellEnd"/>
      <w:r w:rsidRPr="00344ABD">
        <w:rPr>
          <w:sz w:val="28"/>
          <w:szCs w:val="24"/>
        </w:rPr>
        <w:t xml:space="preserve"> Архангельского сельсовета, села Великий Двор </w:t>
      </w:r>
      <w:proofErr w:type="spellStart"/>
      <w:r w:rsidRPr="00344ABD">
        <w:rPr>
          <w:sz w:val="28"/>
          <w:szCs w:val="24"/>
        </w:rPr>
        <w:t>Кокошиловского</w:t>
      </w:r>
      <w:proofErr w:type="spellEnd"/>
      <w:r w:rsidRPr="00344ABD">
        <w:rPr>
          <w:sz w:val="28"/>
          <w:szCs w:val="24"/>
        </w:rPr>
        <w:t xml:space="preserve"> сельсовета, деревни Нестерово </w:t>
      </w:r>
      <w:proofErr w:type="spellStart"/>
      <w:r w:rsidRPr="00344ABD">
        <w:rPr>
          <w:sz w:val="28"/>
          <w:szCs w:val="24"/>
        </w:rPr>
        <w:t>Нестеровского</w:t>
      </w:r>
      <w:proofErr w:type="spellEnd"/>
      <w:r w:rsidRPr="00344ABD">
        <w:rPr>
          <w:sz w:val="28"/>
          <w:szCs w:val="24"/>
        </w:rPr>
        <w:t xml:space="preserve"> сельсовета, села Биряково </w:t>
      </w:r>
      <w:proofErr w:type="spellStart"/>
      <w:r w:rsidRPr="00344ABD">
        <w:rPr>
          <w:sz w:val="28"/>
          <w:szCs w:val="24"/>
        </w:rPr>
        <w:t>Биряковского</w:t>
      </w:r>
      <w:proofErr w:type="spellEnd"/>
      <w:r w:rsidRPr="00344ABD">
        <w:rPr>
          <w:sz w:val="28"/>
          <w:szCs w:val="24"/>
        </w:rPr>
        <w:t xml:space="preserve"> сельсовета, деревни Воробьево, деревни Алексино </w:t>
      </w:r>
      <w:proofErr w:type="spellStart"/>
      <w:r w:rsidRPr="00344ABD">
        <w:rPr>
          <w:sz w:val="28"/>
          <w:szCs w:val="24"/>
        </w:rPr>
        <w:t>Воробьевского</w:t>
      </w:r>
      <w:proofErr w:type="spellEnd"/>
      <w:r w:rsidRPr="00344ABD">
        <w:rPr>
          <w:sz w:val="28"/>
          <w:szCs w:val="24"/>
        </w:rPr>
        <w:t xml:space="preserve">  сельсовета, деревни Чекшино </w:t>
      </w:r>
      <w:proofErr w:type="spellStart"/>
      <w:r w:rsidRPr="00344ABD">
        <w:rPr>
          <w:sz w:val="28"/>
          <w:szCs w:val="24"/>
        </w:rPr>
        <w:t>Двиницкого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Марковское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Тырыково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Пельшемского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Обросово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Боровецкого</w:t>
      </w:r>
      <w:proofErr w:type="spellEnd"/>
      <w:r w:rsidRPr="00344ABD">
        <w:rPr>
          <w:sz w:val="28"/>
          <w:szCs w:val="24"/>
        </w:rPr>
        <w:t xml:space="preserve"> сельсовета, деревни Чучково, деревни </w:t>
      </w:r>
      <w:proofErr w:type="spellStart"/>
      <w:r w:rsidRPr="00344ABD">
        <w:rPr>
          <w:sz w:val="28"/>
          <w:szCs w:val="24"/>
        </w:rPr>
        <w:t>Огарово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Горбово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Чучковского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Оларево</w:t>
      </w:r>
      <w:proofErr w:type="spellEnd"/>
      <w:r w:rsidRPr="00344ABD">
        <w:rPr>
          <w:sz w:val="28"/>
          <w:szCs w:val="24"/>
        </w:rPr>
        <w:t xml:space="preserve">  Пригородного сельсовета</w:t>
      </w:r>
      <w:r w:rsidR="009B3C03">
        <w:rPr>
          <w:sz w:val="28"/>
          <w:szCs w:val="24"/>
        </w:rPr>
        <w:t>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>4. МУП «Коммунальные системы» (ИНН 3527016080</w:t>
      </w:r>
      <w:r w:rsidR="009B3C03" w:rsidRPr="00344ABD">
        <w:rPr>
          <w:sz w:val="28"/>
          <w:szCs w:val="24"/>
        </w:rPr>
        <w:t>) обеспечить</w:t>
      </w:r>
      <w:r w:rsidRPr="00344ABD">
        <w:rPr>
          <w:sz w:val="28"/>
          <w:szCs w:val="24"/>
        </w:rPr>
        <w:t xml:space="preserve"> холодное водоснабжение и водоотведение, заключить договоры с потребителями (юридическими и физическими лицами) в пределах зоны деятельности, для обеспечения надежного и </w:t>
      </w:r>
      <w:r w:rsidR="009B3C03" w:rsidRPr="00344ABD">
        <w:rPr>
          <w:sz w:val="28"/>
          <w:szCs w:val="24"/>
        </w:rPr>
        <w:t>бесперебойного холодного водоснабжения,</w:t>
      </w:r>
      <w:r w:rsidRPr="00344ABD">
        <w:rPr>
          <w:sz w:val="28"/>
          <w:szCs w:val="24"/>
        </w:rPr>
        <w:t xml:space="preserve"> и водоотведения, в соответствии с требованиями законодательства Российской Федерации.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5. Директору МКУ СМО «Управление </w:t>
      </w:r>
      <w:r w:rsidR="009B3C03" w:rsidRPr="00344ABD">
        <w:rPr>
          <w:sz w:val="28"/>
          <w:szCs w:val="24"/>
        </w:rPr>
        <w:t>строительства и</w:t>
      </w:r>
      <w:r w:rsidRPr="00344ABD">
        <w:rPr>
          <w:sz w:val="28"/>
          <w:szCs w:val="24"/>
        </w:rPr>
        <w:t xml:space="preserve"> ЖКХ» Ю.Л. </w:t>
      </w:r>
      <w:proofErr w:type="spellStart"/>
      <w:proofErr w:type="gramStart"/>
      <w:r w:rsidRPr="00344ABD">
        <w:rPr>
          <w:sz w:val="28"/>
          <w:szCs w:val="24"/>
        </w:rPr>
        <w:t>Тютиной</w:t>
      </w:r>
      <w:proofErr w:type="spellEnd"/>
      <w:r w:rsidRPr="00344ABD">
        <w:rPr>
          <w:sz w:val="28"/>
          <w:szCs w:val="24"/>
        </w:rPr>
        <w:t xml:space="preserve">  не</w:t>
      </w:r>
      <w:proofErr w:type="gramEnd"/>
      <w:r w:rsidRPr="00344ABD">
        <w:rPr>
          <w:sz w:val="28"/>
          <w:szCs w:val="24"/>
        </w:rPr>
        <w:t xml:space="preserve"> позднее 3 дней со дня утверждения настоящего постановления направить его в МУП «Коммунальные системы» (ИНН 3527016080).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>6. Признать утратившим силу постановление Администрации Сокольского муниципального района от 28.08.2023 №</w:t>
      </w:r>
      <w:r w:rsidR="009B3C03">
        <w:rPr>
          <w:sz w:val="28"/>
          <w:szCs w:val="24"/>
        </w:rPr>
        <w:t xml:space="preserve"> </w:t>
      </w:r>
      <w:r w:rsidRPr="00344ABD">
        <w:rPr>
          <w:sz w:val="28"/>
          <w:szCs w:val="24"/>
        </w:rPr>
        <w:t xml:space="preserve">1124 «О наделении организации, осуществляющей холодное водоснабжение и водоотведение статусом гарантирующей организации в административных границах села Архангельское, деревни </w:t>
      </w:r>
      <w:proofErr w:type="spellStart"/>
      <w:r w:rsidRPr="00344ABD">
        <w:rPr>
          <w:sz w:val="28"/>
          <w:szCs w:val="24"/>
        </w:rPr>
        <w:t>Василево</w:t>
      </w:r>
      <w:proofErr w:type="spellEnd"/>
      <w:r w:rsidRPr="00344ABD">
        <w:rPr>
          <w:sz w:val="28"/>
          <w:szCs w:val="24"/>
        </w:rPr>
        <w:t xml:space="preserve"> Архангельского сельсовета, села Великий Двор </w:t>
      </w:r>
      <w:proofErr w:type="spellStart"/>
      <w:r w:rsidRPr="00344ABD">
        <w:rPr>
          <w:sz w:val="28"/>
          <w:szCs w:val="24"/>
        </w:rPr>
        <w:t>Кокошиловского</w:t>
      </w:r>
      <w:proofErr w:type="spellEnd"/>
      <w:r w:rsidRPr="00344ABD">
        <w:rPr>
          <w:sz w:val="28"/>
          <w:szCs w:val="24"/>
        </w:rPr>
        <w:t xml:space="preserve"> сельсовета, деревни Нестерово </w:t>
      </w:r>
      <w:proofErr w:type="spellStart"/>
      <w:r w:rsidRPr="00344ABD">
        <w:rPr>
          <w:sz w:val="28"/>
          <w:szCs w:val="24"/>
        </w:rPr>
        <w:t>Нестеровского</w:t>
      </w:r>
      <w:proofErr w:type="spellEnd"/>
      <w:r w:rsidRPr="00344ABD">
        <w:rPr>
          <w:sz w:val="28"/>
          <w:szCs w:val="24"/>
        </w:rPr>
        <w:t xml:space="preserve"> сельсовета, села Биряково </w:t>
      </w:r>
      <w:proofErr w:type="spellStart"/>
      <w:r w:rsidRPr="00344ABD">
        <w:rPr>
          <w:sz w:val="28"/>
          <w:szCs w:val="24"/>
        </w:rPr>
        <w:t>Биряковского</w:t>
      </w:r>
      <w:proofErr w:type="spellEnd"/>
      <w:r w:rsidRPr="00344ABD">
        <w:rPr>
          <w:sz w:val="28"/>
          <w:szCs w:val="24"/>
        </w:rPr>
        <w:t xml:space="preserve"> сельсовета, деревни Воробьево, деревни Алексино </w:t>
      </w:r>
      <w:proofErr w:type="spellStart"/>
      <w:r w:rsidRPr="00344ABD">
        <w:rPr>
          <w:sz w:val="28"/>
          <w:szCs w:val="24"/>
        </w:rPr>
        <w:t>Воробьевского</w:t>
      </w:r>
      <w:proofErr w:type="spellEnd"/>
      <w:r w:rsidRPr="00344ABD">
        <w:rPr>
          <w:sz w:val="28"/>
          <w:szCs w:val="24"/>
        </w:rPr>
        <w:t xml:space="preserve">  сельсовета, деревни Чекшино </w:t>
      </w:r>
      <w:proofErr w:type="spellStart"/>
      <w:r w:rsidRPr="00344ABD">
        <w:rPr>
          <w:sz w:val="28"/>
          <w:szCs w:val="24"/>
        </w:rPr>
        <w:t>Двиницкого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Марковское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Тырыково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Пельшемского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Обросово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Боровецкого</w:t>
      </w:r>
      <w:proofErr w:type="spellEnd"/>
      <w:r w:rsidRPr="00344ABD">
        <w:rPr>
          <w:sz w:val="28"/>
          <w:szCs w:val="24"/>
        </w:rPr>
        <w:t xml:space="preserve"> сельсовета, деревни Чучково, деревни </w:t>
      </w:r>
      <w:proofErr w:type="spellStart"/>
      <w:r w:rsidRPr="00344ABD">
        <w:rPr>
          <w:sz w:val="28"/>
          <w:szCs w:val="24"/>
        </w:rPr>
        <w:t>Огарово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Горбово</w:t>
      </w:r>
      <w:proofErr w:type="spellEnd"/>
      <w:r w:rsidRPr="00344ABD">
        <w:rPr>
          <w:sz w:val="28"/>
          <w:szCs w:val="24"/>
        </w:rPr>
        <w:t xml:space="preserve"> </w:t>
      </w:r>
      <w:proofErr w:type="spellStart"/>
      <w:r w:rsidRPr="00344ABD">
        <w:rPr>
          <w:sz w:val="28"/>
          <w:szCs w:val="24"/>
        </w:rPr>
        <w:t>Чучковского</w:t>
      </w:r>
      <w:proofErr w:type="spellEnd"/>
      <w:r w:rsidRPr="00344ABD">
        <w:rPr>
          <w:sz w:val="28"/>
          <w:szCs w:val="24"/>
        </w:rPr>
        <w:t xml:space="preserve"> сельсовета, деревни </w:t>
      </w:r>
      <w:proofErr w:type="spellStart"/>
      <w:r w:rsidRPr="00344ABD">
        <w:rPr>
          <w:sz w:val="28"/>
          <w:szCs w:val="24"/>
        </w:rPr>
        <w:t>Литега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Оларево</w:t>
      </w:r>
      <w:proofErr w:type="spellEnd"/>
      <w:r w:rsidRPr="00344ABD">
        <w:rPr>
          <w:sz w:val="28"/>
          <w:szCs w:val="24"/>
        </w:rPr>
        <w:t xml:space="preserve">, деревни </w:t>
      </w:r>
      <w:proofErr w:type="spellStart"/>
      <w:r w:rsidRPr="00344ABD">
        <w:rPr>
          <w:sz w:val="28"/>
          <w:szCs w:val="24"/>
        </w:rPr>
        <w:t>Васютино</w:t>
      </w:r>
      <w:proofErr w:type="spellEnd"/>
      <w:r w:rsidRPr="00344ABD">
        <w:rPr>
          <w:sz w:val="28"/>
          <w:szCs w:val="24"/>
        </w:rPr>
        <w:t xml:space="preserve"> Пригородного сельсовета Сокольского района».</w:t>
      </w:r>
    </w:p>
    <w:p w:rsidR="00344ABD" w:rsidRPr="00344ABD" w:rsidRDefault="00344ABD" w:rsidP="00344ABD">
      <w:pPr>
        <w:pStyle w:val="ConsPlusNormal"/>
        <w:ind w:firstLine="709"/>
        <w:jc w:val="both"/>
        <w:rPr>
          <w:sz w:val="28"/>
          <w:szCs w:val="24"/>
        </w:rPr>
      </w:pPr>
      <w:r w:rsidRPr="00344ABD">
        <w:rPr>
          <w:sz w:val="28"/>
          <w:szCs w:val="24"/>
        </w:rPr>
        <w:t xml:space="preserve">7. Настоящее постановление подлежит официальному опубликованию в газете «Сокольская правда» и в течение 3 дней со дня его принятия подлежит размещению на официальном </w:t>
      </w:r>
      <w:r w:rsidR="009B3C03" w:rsidRPr="00344ABD">
        <w:rPr>
          <w:sz w:val="28"/>
          <w:szCs w:val="24"/>
        </w:rPr>
        <w:t>сайте Сокольского</w:t>
      </w:r>
      <w:r w:rsidRPr="00344ABD">
        <w:rPr>
          <w:sz w:val="28"/>
          <w:szCs w:val="24"/>
        </w:rPr>
        <w:t xml:space="preserve"> муниципального округа в информационно-телекоммуникационной сети «Интернет». </w:t>
      </w:r>
    </w:p>
    <w:p w:rsidR="00C474AB" w:rsidRDefault="00C474AB" w:rsidP="00835C9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74A06">
        <w:rPr>
          <w:sz w:val="28"/>
          <w:szCs w:val="28"/>
        </w:rPr>
        <w:t xml:space="preserve">     </w:t>
      </w:r>
    </w:p>
    <w:p w:rsidR="00DC572D" w:rsidRDefault="00DC572D" w:rsidP="00C474AB">
      <w:pPr>
        <w:jc w:val="both"/>
      </w:pPr>
    </w:p>
    <w:p w:rsidR="00FC372D" w:rsidRPr="0064547B" w:rsidRDefault="006E0743" w:rsidP="00C474AB">
      <w:pPr>
        <w:jc w:val="both"/>
      </w:pPr>
      <w:r>
        <w:t>Глава округа</w:t>
      </w:r>
      <w:r w:rsidR="000E14D7">
        <w:t xml:space="preserve">                                                                    </w:t>
      </w:r>
      <w:r>
        <w:t xml:space="preserve">                        В.А. Носков</w:t>
      </w:r>
    </w:p>
    <w:p w:rsidR="00C474AB" w:rsidRPr="0064547B" w:rsidRDefault="00C474AB" w:rsidP="00C474AB">
      <w:pPr>
        <w:jc w:val="both"/>
      </w:pPr>
      <w:r>
        <w:t xml:space="preserve">     </w:t>
      </w:r>
    </w:p>
    <w:p w:rsidR="003E4F82" w:rsidRDefault="003E4F82"/>
    <w:sectPr w:rsidR="003E4F82" w:rsidSect="00FB5D58">
      <w:headerReference w:type="even" r:id="rId7"/>
      <w:headerReference w:type="default" r:id="rId8"/>
      <w:footerReference w:type="first" r:id="rId9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5B" w:rsidRDefault="00026C5B">
      <w:r>
        <w:separator/>
      </w:r>
    </w:p>
  </w:endnote>
  <w:endnote w:type="continuationSeparator" w:id="0">
    <w:p w:rsidR="00026C5B" w:rsidRDefault="0002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5B" w:rsidRDefault="00026C5B">
      <w:r>
        <w:separator/>
      </w:r>
    </w:p>
  </w:footnote>
  <w:footnote w:type="continuationSeparator" w:id="0">
    <w:p w:rsidR="00026C5B" w:rsidRDefault="0002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D58">
      <w:rPr>
        <w:rStyle w:val="a4"/>
        <w:noProof/>
      </w:rPr>
      <w:t>2</w: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6"/>
    <w:rsid w:val="00014325"/>
    <w:rsid w:val="000205F9"/>
    <w:rsid w:val="00026C5B"/>
    <w:rsid w:val="00065295"/>
    <w:rsid w:val="000D3F12"/>
    <w:rsid w:val="000E14D7"/>
    <w:rsid w:val="00111BB3"/>
    <w:rsid w:val="00154706"/>
    <w:rsid w:val="00176830"/>
    <w:rsid w:val="001B6A65"/>
    <w:rsid w:val="001D4F86"/>
    <w:rsid w:val="001E22DC"/>
    <w:rsid w:val="00202141"/>
    <w:rsid w:val="00224B5E"/>
    <w:rsid w:val="0025042C"/>
    <w:rsid w:val="002B0AF4"/>
    <w:rsid w:val="00304BD4"/>
    <w:rsid w:val="00341B10"/>
    <w:rsid w:val="00344ABD"/>
    <w:rsid w:val="003660F7"/>
    <w:rsid w:val="00392EF7"/>
    <w:rsid w:val="003E4F82"/>
    <w:rsid w:val="003F4550"/>
    <w:rsid w:val="00403207"/>
    <w:rsid w:val="00406C62"/>
    <w:rsid w:val="00486E93"/>
    <w:rsid w:val="004873B3"/>
    <w:rsid w:val="004C288B"/>
    <w:rsid w:val="00574E70"/>
    <w:rsid w:val="005F06ED"/>
    <w:rsid w:val="0061318C"/>
    <w:rsid w:val="006E0743"/>
    <w:rsid w:val="00726A13"/>
    <w:rsid w:val="00750A45"/>
    <w:rsid w:val="007524E6"/>
    <w:rsid w:val="00774271"/>
    <w:rsid w:val="007C173C"/>
    <w:rsid w:val="007D41A1"/>
    <w:rsid w:val="007D4723"/>
    <w:rsid w:val="007E609F"/>
    <w:rsid w:val="007F7C20"/>
    <w:rsid w:val="00833320"/>
    <w:rsid w:val="00835C91"/>
    <w:rsid w:val="00842B38"/>
    <w:rsid w:val="008536A0"/>
    <w:rsid w:val="008832EF"/>
    <w:rsid w:val="008B10A3"/>
    <w:rsid w:val="008B2EFD"/>
    <w:rsid w:val="008C2619"/>
    <w:rsid w:val="00920B63"/>
    <w:rsid w:val="00922EF4"/>
    <w:rsid w:val="00930A97"/>
    <w:rsid w:val="00941E25"/>
    <w:rsid w:val="009B3C03"/>
    <w:rsid w:val="009F5678"/>
    <w:rsid w:val="00A22D1C"/>
    <w:rsid w:val="00B824FA"/>
    <w:rsid w:val="00B863FF"/>
    <w:rsid w:val="00BC6544"/>
    <w:rsid w:val="00BD1DA3"/>
    <w:rsid w:val="00BE13A5"/>
    <w:rsid w:val="00BE505B"/>
    <w:rsid w:val="00BE63A1"/>
    <w:rsid w:val="00C06A2E"/>
    <w:rsid w:val="00C1115C"/>
    <w:rsid w:val="00C12B02"/>
    <w:rsid w:val="00C474AB"/>
    <w:rsid w:val="00C92973"/>
    <w:rsid w:val="00CD4EFC"/>
    <w:rsid w:val="00CF1D5A"/>
    <w:rsid w:val="00D242AF"/>
    <w:rsid w:val="00D30D93"/>
    <w:rsid w:val="00D56A45"/>
    <w:rsid w:val="00D734D4"/>
    <w:rsid w:val="00DC1469"/>
    <w:rsid w:val="00DC572D"/>
    <w:rsid w:val="00E02EED"/>
    <w:rsid w:val="00E4524A"/>
    <w:rsid w:val="00E65193"/>
    <w:rsid w:val="00E713F0"/>
    <w:rsid w:val="00E75766"/>
    <w:rsid w:val="00F75DD8"/>
    <w:rsid w:val="00FB5D58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CE0895-D8CA-4BF2-96B2-85AEC3A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styleId="a7">
    <w:name w:val="List Paragraph"/>
    <w:basedOn w:val="a"/>
    <w:uiPriority w:val="34"/>
    <w:qFormat/>
    <w:rsid w:val="0017683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9F56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F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6</cp:revision>
  <cp:lastPrinted>2024-11-21T09:20:00Z</cp:lastPrinted>
  <dcterms:created xsi:type="dcterms:W3CDTF">2024-11-18T05:40:00Z</dcterms:created>
  <dcterms:modified xsi:type="dcterms:W3CDTF">2024-11-21T09:22:00Z</dcterms:modified>
</cp:coreProperties>
</file>